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B0B" w:rsidP="00864B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MSS405088 Plan, implement and monitor energy management</w:t>
      </w:r>
      <w:r>
        <w:fldChar w:fldCharType="end"/>
      </w:r>
    </w:p>
    <w:p w:rsidR="00864B0B" w:rsidP="00864B0B">
      <w:pPr>
        <w:pStyle w:val="Version"/>
        <w:sectPr w:rsidSect="00423F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FAF" w:rsidP="00423FAF">
      <w:pPr>
        <w:pStyle w:val="SuperHeading"/>
      </w:pPr>
      <w:r w:rsidRPr="00423FAF">
        <w:t>Assessment Requirements for MSS405088 Plan, implement and monitor energy management</w:t>
      </w:r>
    </w:p>
    <w:p w:rsidR="00000000" w:rsidRPr="00423FAF" w:rsidP="00423FAF">
      <w:pPr>
        <w:pStyle w:val="Heading1"/>
      </w:pPr>
      <w:bookmarkStart w:id="1" w:name="O_1074667"/>
      <w:bookmarkEnd w:id="1"/>
      <w:r w:rsidRPr="00423FAF">
        <w:t>Modification History</w:t>
      </w:r>
    </w:p>
    <w:p w:rsidR="00000000" w:rsidRPr="00423FAF" w:rsidP="00864B0B">
      <w:pPr>
        <w:pStyle w:val="BodyText"/>
      </w:pPr>
      <w:r w:rsidRPr="00423FAF">
        <w:t>Release 1. Supersedes but is not equivalent to MSS405086 - Develop sustainable energy practices.</w:t>
      </w:r>
    </w:p>
    <w:p w:rsidR="00000000" w:rsidRPr="00423FAF" w:rsidP="00423FAF">
      <w:pPr>
        <w:pStyle w:val="Heading1"/>
      </w:pPr>
      <w:bookmarkStart w:id="2" w:name="O_1074668"/>
      <w:bookmarkEnd w:id="2"/>
      <w:r w:rsidRPr="00423FAF">
        <w:t>Performance Evidence</w:t>
      </w:r>
    </w:p>
    <w:p w:rsidR="00000000" w:rsidRPr="00423FAF" w:rsidP="00864B0B">
      <w:pPr>
        <w:pStyle w:val="BodyText"/>
      </w:pPr>
      <w:r w:rsidRPr="00423FAF">
        <w:t>There must be evidence the candidate has completed the tasks outlined in the elements and performance criteria of this unit, and:</w:t>
      </w:r>
    </w:p>
    <w:p w:rsidR="00000000" w:rsidRPr="00423FAF" w:rsidP="00423FAF">
      <w:pPr>
        <w:pStyle w:val="ListBullet"/>
      </w:pPr>
      <w:r w:rsidRPr="00423FAF">
        <w:t>planned, implemented and monitored energy management strategies for 1 organisation, area of operation or</w:t>
      </w:r>
      <w:r w:rsidRPr="00423FAF">
        <w:t xml:space="preserve"> process that include consideration of:</w:t>
      </w:r>
    </w:p>
    <w:p w:rsidR="00000000" w:rsidRPr="00423FAF" w:rsidP="00423FAF">
      <w:pPr>
        <w:pStyle w:val="ListBullet2"/>
      </w:pPr>
      <w:r w:rsidRPr="00423FAF">
        <w:t>alternative sources</w:t>
      </w:r>
    </w:p>
    <w:p w:rsidR="00000000" w:rsidRPr="00423FAF" w:rsidP="00423FAF">
      <w:pPr>
        <w:pStyle w:val="ListBullet2"/>
      </w:pPr>
      <w:r w:rsidRPr="00423FAF">
        <w:t>efficiency and reduction of carbon emissions</w:t>
      </w:r>
    </w:p>
    <w:p w:rsidR="00000000" w:rsidRPr="00423FAF" w:rsidP="00423FAF">
      <w:pPr>
        <w:pStyle w:val="ListBullet2"/>
      </w:pPr>
      <w:r w:rsidRPr="00423FAF">
        <w:t>waste management.</w:t>
      </w:r>
    </w:p>
    <w:p w:rsidR="00000000" w:rsidRPr="00423FAF" w:rsidP="00423FAF">
      <w:pPr>
        <w:pStyle w:val="AllowPageBreak"/>
      </w:pPr>
    </w:p>
    <w:p w:rsidR="00000000" w:rsidRPr="00423FAF" w:rsidP="00423FAF">
      <w:pPr>
        <w:pStyle w:val="Heading1"/>
      </w:pPr>
      <w:bookmarkStart w:id="3" w:name="O_1074669"/>
      <w:bookmarkEnd w:id="3"/>
      <w:r w:rsidRPr="00423FAF">
        <w:t>Knowledge Evidence</w:t>
      </w:r>
    </w:p>
    <w:p w:rsidR="00000000" w:rsidRPr="00423FAF" w:rsidP="00864B0B">
      <w:pPr>
        <w:pStyle w:val="BodyText"/>
      </w:pPr>
      <w:r w:rsidRPr="00423FAF">
        <w:t>There must be evidence the candidate has knowledge of:</w:t>
      </w:r>
    </w:p>
    <w:p w:rsidR="00000000" w:rsidRPr="00423FAF" w:rsidP="00423FAF">
      <w:pPr>
        <w:pStyle w:val="ListBullet"/>
      </w:pPr>
      <w:r w:rsidRPr="00423FAF">
        <w:t>types and sources of internal and exte</w:t>
      </w:r>
      <w:r w:rsidRPr="00423FAF">
        <w:t>rnal information for energy management planning:</w:t>
      </w:r>
    </w:p>
    <w:p w:rsidR="00000000" w:rsidRPr="00423FAF" w:rsidP="00423FAF">
      <w:pPr>
        <w:pStyle w:val="ListBullet2"/>
      </w:pPr>
      <w:r w:rsidRPr="00423FAF">
        <w:t>current and potential energy sources</w:t>
      </w:r>
    </w:p>
    <w:p w:rsidR="00000000" w:rsidRPr="00423FAF" w:rsidP="00423FAF">
      <w:pPr>
        <w:pStyle w:val="ListBullet2"/>
      </w:pPr>
      <w:r w:rsidRPr="00423FAF">
        <w:t>production data</w:t>
      </w:r>
    </w:p>
    <w:p w:rsidR="00000000" w:rsidRPr="00423FAF" w:rsidP="00423FAF">
      <w:pPr>
        <w:pStyle w:val="ListBullet2"/>
      </w:pPr>
      <w:r w:rsidRPr="00423FAF">
        <w:t>current usage levels</w:t>
      </w:r>
    </w:p>
    <w:p w:rsidR="00000000" w:rsidRPr="00423FAF" w:rsidP="00423FAF">
      <w:pPr>
        <w:pStyle w:val="ListBullet2"/>
      </w:pPr>
      <w:r w:rsidRPr="00423FAF">
        <w:t>process needs</w:t>
      </w:r>
    </w:p>
    <w:p w:rsidR="00000000" w:rsidRPr="00423FAF" w:rsidP="00423FAF">
      <w:pPr>
        <w:pStyle w:val="ListBullet2"/>
      </w:pPr>
      <w:r w:rsidRPr="00423FAF">
        <w:t>regulatory environment</w:t>
      </w:r>
    </w:p>
    <w:p w:rsidR="00000000" w:rsidRPr="00423FAF" w:rsidP="00423FAF">
      <w:pPr>
        <w:pStyle w:val="ListBullet2"/>
      </w:pPr>
      <w:r w:rsidRPr="00423FAF">
        <w:t>business goals</w:t>
      </w:r>
    </w:p>
    <w:p w:rsidR="00000000" w:rsidRPr="00423FAF" w:rsidP="00423FAF">
      <w:pPr>
        <w:pStyle w:val="ListBullet"/>
      </w:pPr>
      <w:r w:rsidRPr="00423FAF">
        <w:t>methods for identifying improvement opportunities</w:t>
      </w:r>
    </w:p>
    <w:p w:rsidR="00000000" w:rsidRPr="00423FAF" w:rsidP="00423FAF">
      <w:pPr>
        <w:pStyle w:val="ListBullet"/>
      </w:pPr>
      <w:r w:rsidRPr="00423FAF">
        <w:t>key stakeholders and engagement strategies</w:t>
      </w:r>
    </w:p>
    <w:p w:rsidR="00000000" w:rsidRPr="00423FAF" w:rsidP="00423FAF">
      <w:pPr>
        <w:pStyle w:val="ListBullet"/>
      </w:pPr>
      <w:r w:rsidRPr="00423FAF">
        <w:t>potential objectives for energy management</w:t>
      </w:r>
    </w:p>
    <w:p w:rsidR="00000000" w:rsidRPr="00423FAF" w:rsidP="00423FAF">
      <w:pPr>
        <w:pStyle w:val="ListBullet"/>
      </w:pPr>
      <w:r w:rsidRPr="00423FAF">
        <w:t>how to develop energy management performance indicators</w:t>
      </w:r>
    </w:p>
    <w:p w:rsidR="00000000" w:rsidRPr="00423FAF" w:rsidP="00423FAF">
      <w:pPr>
        <w:pStyle w:val="ListBullet"/>
      </w:pPr>
      <w:r w:rsidRPr="00423FAF">
        <w:t>how to align energy management objectives with broader organisation priorities</w:t>
      </w:r>
    </w:p>
    <w:p w:rsidR="00000000" w:rsidRPr="00423FAF" w:rsidP="00423FAF">
      <w:pPr>
        <w:pStyle w:val="ListBullet"/>
      </w:pPr>
      <w:r w:rsidRPr="00423FAF">
        <w:t>links between energy and other aspe</w:t>
      </w:r>
      <w:r w:rsidRPr="00423FAF">
        <w:t>cts of sustainability</w:t>
      </w:r>
    </w:p>
    <w:p w:rsidR="00000000" w:rsidRPr="00423FAF" w:rsidP="00423FAF">
      <w:pPr>
        <w:pStyle w:val="ListBullet"/>
      </w:pPr>
      <w:r w:rsidRPr="00423FAF">
        <w:t>methods of analysing energy efficiency for different types of energy</w:t>
      </w:r>
    </w:p>
    <w:p w:rsidR="00000000" w:rsidRPr="00423FAF" w:rsidP="00423FAF">
      <w:pPr>
        <w:pStyle w:val="ListBullet"/>
      </w:pPr>
      <w:r w:rsidRPr="00423FAF">
        <w:t>ways of categorising energy use</w:t>
      </w:r>
    </w:p>
    <w:p w:rsidR="00000000" w:rsidRPr="00423FAF" w:rsidP="00423FAF">
      <w:pPr>
        <w:pStyle w:val="ListBullet"/>
      </w:pPr>
      <w:r w:rsidRPr="00423FAF">
        <w:t>key principles and features of different energy management strategies</w:t>
      </w:r>
    </w:p>
    <w:p w:rsidR="00000000" w:rsidRPr="00423FAF" w:rsidP="00423FAF">
      <w:pPr>
        <w:pStyle w:val="ListBullet2"/>
      </w:pPr>
      <w:r w:rsidRPr="00423FAF">
        <w:t>alternative sources</w:t>
      </w:r>
    </w:p>
    <w:p w:rsidR="00000000" w:rsidRPr="00423FAF" w:rsidP="00423FAF">
      <w:pPr>
        <w:pStyle w:val="ListBullet2"/>
      </w:pPr>
      <w:r w:rsidRPr="00423FAF">
        <w:t>conservation</w:t>
      </w:r>
    </w:p>
    <w:p w:rsidR="00000000" w:rsidRPr="00423FAF" w:rsidP="00423FAF">
      <w:pPr>
        <w:pStyle w:val="ListBullet2"/>
      </w:pPr>
      <w:r w:rsidRPr="00423FAF">
        <w:t>efficiency and reduction of carbon emissions</w:t>
      </w:r>
    </w:p>
    <w:p w:rsidR="00000000" w:rsidRPr="00423FAF" w:rsidP="00423FAF">
      <w:pPr>
        <w:pStyle w:val="ListBullet2"/>
      </w:pPr>
      <w:r w:rsidRPr="00423FAF">
        <w:t>trading schemes</w:t>
      </w:r>
    </w:p>
    <w:p w:rsidR="00000000" w:rsidRPr="00423FAF" w:rsidP="00423FAF">
      <w:pPr>
        <w:pStyle w:val="ListBullet2"/>
      </w:pPr>
      <w:r w:rsidRPr="00423FAF">
        <w:t xml:space="preserve">waste management – necessary and unnecessary </w:t>
      </w:r>
      <w:r w:rsidRPr="00423FAF">
        <w:rPr>
          <w:rStyle w:val="Emphasis"/>
        </w:rPr>
        <w:t>muda</w:t>
      </w:r>
    </w:p>
    <w:p w:rsidR="00000000" w:rsidRPr="00423FAF" w:rsidP="00423FAF">
      <w:pPr>
        <w:pStyle w:val="ListBullet"/>
      </w:pPr>
      <w:r w:rsidRPr="00423FAF">
        <w:t>types of potential improvements, including those related to:</w:t>
      </w:r>
    </w:p>
    <w:p w:rsidR="00000000" w:rsidRPr="00423FAF" w:rsidP="00423FAF">
      <w:pPr>
        <w:pStyle w:val="ListBullet2"/>
      </w:pPr>
      <w:r w:rsidRPr="00423FAF">
        <w:t>capital purchases</w:t>
      </w:r>
    </w:p>
    <w:p w:rsidR="00000000" w:rsidRPr="00423FAF" w:rsidP="00423FAF">
      <w:pPr>
        <w:pStyle w:val="ListBullet2"/>
      </w:pPr>
      <w:r w:rsidRPr="00423FAF">
        <w:t>equipment adaptation</w:t>
      </w:r>
    </w:p>
    <w:p w:rsidR="00000000" w:rsidRPr="00423FAF" w:rsidP="00423FAF">
      <w:pPr>
        <w:pStyle w:val="ListBullet2"/>
      </w:pPr>
      <w:r w:rsidRPr="00423FAF">
        <w:t>production/process</w:t>
      </w:r>
    </w:p>
    <w:p w:rsidR="00000000" w:rsidRPr="00423FAF" w:rsidP="00423FAF">
      <w:pPr>
        <w:pStyle w:val="ListBullet2"/>
      </w:pPr>
      <w:r w:rsidRPr="00423FAF">
        <w:t>maintenance</w:t>
      </w:r>
    </w:p>
    <w:p w:rsidR="00000000" w:rsidRPr="00423FAF" w:rsidP="00423FAF">
      <w:pPr>
        <w:pStyle w:val="ListBullet2"/>
      </w:pPr>
      <w:r w:rsidRPr="00423FAF">
        <w:t>transport</w:t>
      </w:r>
    </w:p>
    <w:p w:rsidR="00000000" w:rsidRPr="00423FAF" w:rsidP="00423FAF">
      <w:pPr>
        <w:pStyle w:val="ListBullet"/>
      </w:pPr>
      <w:r w:rsidRPr="00423FAF">
        <w:t>k</w:t>
      </w:r>
      <w:r w:rsidRPr="00423FAF">
        <w:t>ey aspects of the energy management planning, implementation, monitoring and reporting framework, including requirements of ISO 50001 Energy Management Systems</w:t>
      </w:r>
    </w:p>
    <w:p w:rsidR="00000000" w:rsidRPr="00423FAF" w:rsidP="00423FAF">
      <w:pPr>
        <w:pStyle w:val="ListBullet"/>
      </w:pPr>
      <w:r w:rsidRPr="00423FAF">
        <w:t>concept of permanent monitoring versus temporary monitoring.</w:t>
      </w:r>
    </w:p>
    <w:p w:rsidR="00000000" w:rsidRPr="00423FAF" w:rsidP="00423FAF">
      <w:pPr>
        <w:pStyle w:val="AllowPageBreak"/>
      </w:pPr>
    </w:p>
    <w:p w:rsidR="00000000" w:rsidRPr="00423FAF" w:rsidP="00423FAF">
      <w:pPr>
        <w:pStyle w:val="Heading1"/>
      </w:pPr>
      <w:bookmarkStart w:id="4" w:name="O_1074670"/>
      <w:bookmarkEnd w:id="4"/>
      <w:r w:rsidRPr="00423FAF">
        <w:t>Assessment Conditions</w:t>
      </w:r>
    </w:p>
    <w:p w:rsidR="00000000" w:rsidRPr="00423FAF" w:rsidP="00864B0B">
      <w:pPr>
        <w:pStyle w:val="BodyText"/>
      </w:pPr>
      <w:r w:rsidRPr="00423FA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423FAF" w:rsidP="00423FAF">
      <w:pPr>
        <w:pStyle w:val="ListBullet2"/>
      </w:pPr>
      <w:r w:rsidRPr="00423FAF">
        <w:t>use of suitable facilities, equipment and re</w:t>
      </w:r>
      <w:r w:rsidRPr="00423FAF">
        <w:t>sources, including:</w:t>
      </w:r>
    </w:p>
    <w:p w:rsidR="00000000" w:rsidRPr="00423FAF" w:rsidP="00423FAF">
      <w:pPr>
        <w:pStyle w:val="ListBullet2"/>
      </w:pPr>
      <w:r w:rsidRPr="00423FAF">
        <w:t>information about organisation operations, including financial data</w:t>
      </w:r>
    </w:p>
    <w:p w:rsidR="00000000" w:rsidRPr="00423FAF" w:rsidP="00423FAF">
      <w:pPr>
        <w:pStyle w:val="ListBullet2"/>
      </w:pPr>
      <w:r w:rsidRPr="00423FAF">
        <w:t>current and relevant information technology.</w:t>
      </w:r>
    </w:p>
    <w:p w:rsidR="00000000" w:rsidRPr="00423FAF" w:rsidP="00864B0B">
      <w:pPr>
        <w:pStyle w:val="BodyText"/>
      </w:pPr>
      <w:r w:rsidRPr="00423FAF">
        <w:t>Assessors must satisfy the NVR/AQTF mandatory competency requirements for assessors.</w:t>
      </w:r>
    </w:p>
    <w:p w:rsidR="00000000" w:rsidRPr="00423FAF" w:rsidP="00423FAF">
      <w:pPr>
        <w:pStyle w:val="Heading1"/>
      </w:pPr>
      <w:bookmarkStart w:id="5" w:name="O_1074673"/>
      <w:bookmarkEnd w:id="5"/>
      <w:r w:rsidRPr="00423FAF">
        <w:t>Links</w:t>
      </w:r>
    </w:p>
    <w:p w:rsidR="00000000" w:rsidRPr="00423FAF" w:rsidP="00864B0B">
      <w:pPr>
        <w:pStyle w:val="BodyText"/>
      </w:pPr>
      <w:r w:rsidRPr="00423FAF">
        <w:t>MSS Sustainab</w:t>
      </w:r>
      <w:r w:rsidRPr="00423FAF">
        <w:t xml:space="preserve">ility 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F2F5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23FAF" w:rsidP="00423FAF"/>
    <w:sectPr w:rsidSect="00423F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AF" w:rsidRPr="00864B0B" w:rsidP="00864B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B0B" w:rsidP="00423F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4B0B" w:rsidP="00423F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64B0B" w:rsidP="00423F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B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FAF" w:rsidRPr="00864B0B" w:rsidP="00864B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B0B" w:rsidRPr="002D2AF8" w:rsidP="00423F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MSS405088 Plan, implement and monitor energy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64B0B" w:rsidP="00423F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E8B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C4A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FC1A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F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F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F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F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F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F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F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F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F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F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F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FAF"/>
  </w:style>
  <w:style w:type="character" w:customStyle="1" w:styleId="Heading1Char">
    <w:name w:val="Heading 1 Char"/>
    <w:basedOn w:val="DefaultParagraphFont"/>
    <w:link w:val="Heading1"/>
    <w:rsid w:val="00423F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F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F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3F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3F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3FAF"/>
    <w:rPr>
      <w:i/>
    </w:rPr>
  </w:style>
  <w:style w:type="paragraph" w:customStyle="1" w:styleId="SuperHeading">
    <w:name w:val="SuperHeading"/>
    <w:basedOn w:val="Normal"/>
    <w:rsid w:val="00423F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F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F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F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F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F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F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F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F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F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F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F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F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F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F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F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F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3F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3FAF"/>
    <w:rPr>
      <w:b/>
      <w:spacing w:val="0"/>
    </w:rPr>
  </w:style>
  <w:style w:type="paragraph" w:customStyle="1" w:styleId="SuperTitle">
    <w:name w:val="SuperTitle"/>
    <w:basedOn w:val="Title"/>
    <w:rsid w:val="00423F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F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F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3F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F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F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F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F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F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F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F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F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3F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F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F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FAF"/>
  </w:style>
  <w:style w:type="paragraph" w:styleId="TableofFigures">
    <w:name w:val="table of figures"/>
    <w:basedOn w:val="Normal"/>
    <w:next w:val="Normal"/>
    <w:semiHidden/>
    <w:rsid w:val="00423F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F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3FAF"/>
    <w:rPr>
      <w:rFonts w:ascii="Wingdings" w:hAnsi="Wingdings"/>
    </w:rPr>
  </w:style>
  <w:style w:type="paragraph" w:customStyle="1" w:styleId="TableHeading">
    <w:name w:val="Table Heading"/>
    <w:basedOn w:val="HeadingBase"/>
    <w:rsid w:val="00423F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FAF"/>
    <w:rPr>
      <w:color w:val="0033CC"/>
      <w:u w:val="none"/>
    </w:rPr>
  </w:style>
  <w:style w:type="paragraph" w:customStyle="1" w:styleId="BodyTextRight">
    <w:name w:val="Body Text Right"/>
    <w:basedOn w:val="BodyText"/>
    <w:rsid w:val="00423F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F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F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F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F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F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FAF"/>
    <w:rPr>
      <w:sz w:val="32"/>
    </w:rPr>
  </w:style>
  <w:style w:type="paragraph" w:customStyle="1" w:styleId="HeadingProcedure">
    <w:name w:val="Heading Procedure"/>
    <w:basedOn w:val="HeadingBase"/>
    <w:next w:val="Normal"/>
    <w:rsid w:val="00423F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FAF"/>
    <w:pPr>
      <w:spacing w:before="60" w:after="60"/>
    </w:pPr>
  </w:style>
  <w:style w:type="paragraph" w:styleId="ListContinue">
    <w:name w:val="List Continue"/>
    <w:basedOn w:val="List"/>
    <w:rsid w:val="00423FAF"/>
    <w:pPr>
      <w:ind w:firstLine="0"/>
    </w:pPr>
  </w:style>
  <w:style w:type="paragraph" w:customStyle="1" w:styleId="ListNote">
    <w:name w:val="List Note"/>
    <w:basedOn w:val="List"/>
    <w:rsid w:val="00423F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F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F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FAF"/>
    <w:rPr>
      <w:rFonts w:ascii="Courier New" w:hAnsi="Courier New"/>
    </w:rPr>
  </w:style>
  <w:style w:type="paragraph" w:customStyle="1" w:styleId="NoteBullet">
    <w:name w:val="Note Bullet"/>
    <w:basedOn w:val="Note"/>
    <w:rsid w:val="00423F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F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F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F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F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3F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F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FAF"/>
    <w:rPr>
      <w:b/>
      <w:smallCaps/>
    </w:rPr>
  </w:style>
  <w:style w:type="paragraph" w:customStyle="1" w:styleId="TableListNumber">
    <w:name w:val="Table List Number"/>
    <w:basedOn w:val="ListNumber"/>
    <w:rsid w:val="00423F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F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FAF"/>
    <w:pPr>
      <w:numPr>
        <w:numId w:val="9"/>
      </w:numPr>
    </w:pPr>
  </w:style>
  <w:style w:type="paragraph" w:customStyle="1" w:styleId="ListAlpha2">
    <w:name w:val="List Alpha 2"/>
    <w:basedOn w:val="List2"/>
    <w:rsid w:val="00423FAF"/>
    <w:pPr>
      <w:numPr>
        <w:numId w:val="8"/>
      </w:numPr>
    </w:pPr>
  </w:style>
  <w:style w:type="paragraph" w:styleId="List2">
    <w:name w:val="List 2"/>
    <w:basedOn w:val="BodyText"/>
    <w:rsid w:val="00423F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F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F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F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F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F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3FAF"/>
    <w:pPr>
      <w:numPr>
        <w:numId w:val="4"/>
      </w:numPr>
    </w:pPr>
  </w:style>
  <w:style w:type="paragraph" w:styleId="ListContinue2">
    <w:name w:val="List Continue 2"/>
    <w:basedOn w:val="List2"/>
    <w:rsid w:val="00423FAF"/>
    <w:pPr>
      <w:ind w:firstLine="0"/>
    </w:pPr>
  </w:style>
  <w:style w:type="paragraph" w:styleId="ListContinue3">
    <w:name w:val="List Continue 3"/>
    <w:basedOn w:val="List3"/>
    <w:rsid w:val="00423FAF"/>
    <w:pPr>
      <w:ind w:left="1021" w:firstLine="0"/>
    </w:pPr>
  </w:style>
  <w:style w:type="paragraph" w:styleId="ListContinue4">
    <w:name w:val="List Continue 4"/>
    <w:basedOn w:val="List4"/>
    <w:rsid w:val="00423FAF"/>
    <w:pPr>
      <w:ind w:firstLine="0"/>
    </w:pPr>
  </w:style>
  <w:style w:type="paragraph" w:styleId="ListContinue5">
    <w:name w:val="List Continue 5"/>
    <w:basedOn w:val="List5"/>
    <w:rsid w:val="00423FAF"/>
    <w:pPr>
      <w:ind w:firstLine="0"/>
    </w:pPr>
  </w:style>
  <w:style w:type="paragraph" w:styleId="ListNumber3">
    <w:name w:val="List Number 3"/>
    <w:basedOn w:val="List3"/>
    <w:rsid w:val="00423FAF"/>
    <w:pPr>
      <w:numPr>
        <w:numId w:val="5"/>
      </w:numPr>
    </w:pPr>
  </w:style>
  <w:style w:type="paragraph" w:styleId="ListNumber4">
    <w:name w:val="List Number 4"/>
    <w:basedOn w:val="List4"/>
    <w:rsid w:val="00423FAF"/>
    <w:pPr>
      <w:numPr>
        <w:numId w:val="6"/>
      </w:numPr>
    </w:pPr>
  </w:style>
  <w:style w:type="paragraph" w:styleId="ListNumber5">
    <w:name w:val="List Number 5"/>
    <w:basedOn w:val="List5"/>
    <w:rsid w:val="00423FAF"/>
    <w:pPr>
      <w:numPr>
        <w:numId w:val="7"/>
      </w:numPr>
    </w:pPr>
  </w:style>
  <w:style w:type="paragraph" w:styleId="BlockText">
    <w:name w:val="Block Text"/>
    <w:basedOn w:val="Normal"/>
    <w:rsid w:val="00423F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F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FAF"/>
    <w:rPr>
      <w:sz w:val="16"/>
      <w:vertAlign w:val="superscript"/>
    </w:rPr>
  </w:style>
  <w:style w:type="character" w:customStyle="1" w:styleId="Symbols">
    <w:name w:val="Symbols"/>
    <w:basedOn w:val="DefaultParagraphFont"/>
    <w:rsid w:val="00423FAF"/>
    <w:rPr>
      <w:rFonts w:ascii="Symbol" w:hAnsi="Symbol"/>
    </w:rPr>
  </w:style>
  <w:style w:type="character" w:customStyle="1" w:styleId="MenuOptions">
    <w:name w:val="Menu Options"/>
    <w:basedOn w:val="DefaultParagraphFont"/>
    <w:rsid w:val="00423F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FAF"/>
    <w:rPr>
      <w:b/>
    </w:rPr>
  </w:style>
  <w:style w:type="character" w:customStyle="1" w:styleId="Underlined">
    <w:name w:val="Underlined"/>
    <w:basedOn w:val="DefaultParagraphFont"/>
    <w:rsid w:val="00423FAF"/>
    <w:rPr>
      <w:u w:val="single"/>
    </w:rPr>
  </w:style>
  <w:style w:type="paragraph" w:customStyle="1" w:styleId="TableBodyTextRight">
    <w:name w:val="Table Body Text Right"/>
    <w:basedOn w:val="TableBodyText"/>
    <w:rsid w:val="00423F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FAF"/>
    <w:rPr>
      <w:sz w:val="18"/>
    </w:rPr>
  </w:style>
  <w:style w:type="paragraph" w:customStyle="1" w:styleId="BodySmallRight">
    <w:name w:val="Body Small Right"/>
    <w:basedOn w:val="BodyTextRight"/>
    <w:rsid w:val="00423FAF"/>
    <w:rPr>
      <w:sz w:val="18"/>
      <w:szCs w:val="18"/>
    </w:rPr>
  </w:style>
  <w:style w:type="paragraph" w:customStyle="1" w:styleId="MarginEdition">
    <w:name w:val="Margin Edition"/>
    <w:basedOn w:val="MarginNote"/>
    <w:rsid w:val="00423F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FAF"/>
    <w:rPr>
      <w:sz w:val="2"/>
      <w:szCs w:val="2"/>
    </w:rPr>
  </w:style>
  <w:style w:type="character" w:customStyle="1" w:styleId="Small">
    <w:name w:val="Small"/>
    <w:basedOn w:val="DefaultParagraphFont"/>
    <w:rsid w:val="00423FAF"/>
    <w:rPr>
      <w:sz w:val="16"/>
    </w:rPr>
  </w:style>
  <w:style w:type="paragraph" w:customStyle="1" w:styleId="WideTable">
    <w:name w:val="Wide Table"/>
    <w:basedOn w:val="Normal"/>
    <w:rsid w:val="00423F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FAF"/>
  </w:style>
  <w:style w:type="paragraph" w:styleId="Quote">
    <w:name w:val="Quote"/>
    <w:basedOn w:val="Heading1"/>
    <w:link w:val="QuoteChar"/>
    <w:qFormat/>
    <w:rsid w:val="00423F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F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FAF"/>
    <w:pPr>
      <w:pageBreakBefore/>
    </w:pPr>
  </w:style>
  <w:style w:type="paragraph" w:customStyle="1" w:styleId="Border">
    <w:name w:val="Border"/>
    <w:basedOn w:val="Normal"/>
    <w:qFormat/>
    <w:rsid w:val="00423F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F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F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F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F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F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F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F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F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FAF"/>
    <w:rPr>
      <w:u w:val="single"/>
    </w:rPr>
  </w:style>
  <w:style w:type="character" w:customStyle="1" w:styleId="BoldandItalics">
    <w:name w:val="Bold and Italics"/>
    <w:qFormat/>
    <w:rsid w:val="00423FAF"/>
    <w:rPr>
      <w:b/>
      <w:i/>
      <w:u w:val="none"/>
    </w:rPr>
  </w:style>
  <w:style w:type="paragraph" w:styleId="BalloonText">
    <w:name w:val="Balloon Text"/>
    <w:basedOn w:val="Normal"/>
    <w:link w:val="BalloonTextChar"/>
    <w:rsid w:val="00423F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F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F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F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F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F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FAF"/>
    <w:pPr>
      <w:spacing w:before="0" w:after="0"/>
    </w:pPr>
  </w:style>
  <w:style w:type="paragraph" w:customStyle="1" w:styleId="BodyTextBold">
    <w:name w:val="Body Text Bold"/>
    <w:basedOn w:val="BodyText"/>
    <w:qFormat/>
    <w:rsid w:val="00423FAF"/>
    <w:rPr>
      <w:b/>
    </w:rPr>
  </w:style>
  <w:style w:type="character" w:styleId="Hyperlink">
    <w:name w:val="Hyperlink"/>
    <w:basedOn w:val="DefaultParagraphFont"/>
    <w:uiPriority w:val="99"/>
    <w:unhideWhenUsed/>
    <w:rsid w:val="00864B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2443</Characters>
  <Application>Microsoft Office Word</Application>
  <DocSecurity>0</DocSecurity>
  <Lines>69</Lines>
  <Paragraphs>59</Paragraphs>
  <ScaleCrop>false</ScaleCrop>
  <Company>Author-it Software Corporation Ltd.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MSS405088 Plan, implement and monitor energy management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2023-03-02T05:15:00Z</dcterms:created>
  <dcterms:modified xsi:type="dcterms:W3CDTF">2023-03-02T05:15:00Z</dcterms:modified>
</cp:coreProperties>
</file>