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07814" w:rsidP="00C07814">
      <w:pPr>
        <w:pStyle w:val="Title"/>
      </w:pPr>
      <w:r>
        <w:fldChar w:fldCharType="begin"/>
      </w:r>
      <w:r>
        <w:instrText xml:space="preserve"> TITLE   \* MERGEFORMAT </w:instrText>
      </w:r>
      <w:r>
        <w:fldChar w:fldCharType="separate"/>
      </w:r>
      <w:r>
        <w:t>MSS405083 Adapt a proactive maintenance strategy for a seasonal or cyclical business</w:t>
      </w:r>
      <w:r>
        <w:fldChar w:fldCharType="end"/>
      </w:r>
    </w:p>
    <w:p w:rsidR="00C07814" w:rsidP="00C07814">
      <w:pPr>
        <w:pStyle w:val="Version"/>
        <w:sectPr w:rsidSect="004D7A7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D7A70" w:rsidP="004D7A70">
      <w:pPr>
        <w:pStyle w:val="SuperHeading"/>
      </w:pPr>
      <w:r w:rsidRPr="004D7A70">
        <w:t>MSS405083 Ada</w:t>
      </w:r>
      <w:r w:rsidRPr="004D7A70">
        <w:t>pt a proactive maintenance strategy for a seasonal or cyclical business</w:t>
      </w:r>
    </w:p>
    <w:p w:rsidR="00000000" w:rsidRPr="004D7A70" w:rsidP="004D7A70">
      <w:pPr>
        <w:pStyle w:val="Heading1"/>
      </w:pPr>
      <w:bookmarkStart w:id="1" w:name="O_921594"/>
      <w:bookmarkEnd w:id="1"/>
      <w:r w:rsidRPr="004D7A70">
        <w:t>Modification History</w:t>
      </w:r>
    </w:p>
    <w:p w:rsidR="00000000" w:rsidRPr="004D7A70" w:rsidP="00C07814">
      <w:pPr>
        <w:pStyle w:val="BodyText"/>
      </w:pPr>
      <w:r w:rsidRPr="004D7A70">
        <w:t>Release 1. Supersedes and is equivalent to MSS405083A Adapt a proactive maintenance strategy for a seasonal or cyclical business</w:t>
      </w:r>
    </w:p>
    <w:p w:rsidR="00000000" w:rsidRPr="004D7A70" w:rsidP="004D7A70">
      <w:pPr>
        <w:pStyle w:val="Heading1"/>
      </w:pPr>
      <w:bookmarkStart w:id="2" w:name="O_921602"/>
      <w:bookmarkEnd w:id="2"/>
      <w:r w:rsidRPr="004D7A70">
        <w:t>Application</w:t>
      </w:r>
    </w:p>
    <w:p w:rsidR="00000000" w:rsidRPr="004D7A70" w:rsidP="00C07814">
      <w:pPr>
        <w:pStyle w:val="BodyText"/>
      </w:pPr>
      <w:r w:rsidRPr="004D7A70">
        <w:t xml:space="preserve">This unit of competency applies to an individual responsible for developing a proactive maintenance strategy for an organisation that operates seasonal/cyclical plant and also adopts proactive maintenance strategies. The organisation will also </w:t>
      </w:r>
      <w:r w:rsidRPr="004D7A70">
        <w:t>usually be implementing other competitive systems and practices. Typical applications include many food processing enterprises, cotton ginning, sugar refineries, and so on. The unit covers changing the normal priority of some of the choices that need to be</w:t>
      </w:r>
      <w:r w:rsidRPr="004D7A70">
        <w:t xml:space="preserve"> made in implementing a proactive maintenance strategy.</w:t>
      </w:r>
    </w:p>
    <w:p w:rsidR="00000000" w:rsidRPr="004D7A70" w:rsidP="00C07814">
      <w:pPr>
        <w:pStyle w:val="BodyText"/>
      </w:pPr>
      <w:r w:rsidRPr="004D7A70">
        <w:t>The unit applies to the selection of appropriate strategies; initial development and implementation will need to be managed as well as application of the strategies to new areas and the improvement o</w:t>
      </w:r>
      <w:r w:rsidRPr="004D7A70">
        <w:t>f operation in existing areas. This would typically be done in a team environment and in consultation with all key stakeholders.</w:t>
      </w:r>
    </w:p>
    <w:p w:rsidR="00000000" w:rsidRPr="004D7A70" w:rsidP="00C07814">
      <w:pPr>
        <w:pStyle w:val="BodyText"/>
      </w:pPr>
      <w:r w:rsidRPr="004D7A70">
        <w:t xml:space="preserve">This unit requires the application of skills associated with problem solving, initiative, enterprise, planning and organising </w:t>
      </w:r>
      <w:r w:rsidRPr="004D7A70">
        <w:t>in order to adapt a proactive maintenance strategy to meet seasonal or cyclical needs of the enterprise. This work is done in the context of using computer technology and also requires aspects of self-management and learning to ensure improvement of own pe</w:t>
      </w:r>
      <w:r w:rsidRPr="004D7A70">
        <w:t>rformance.</w:t>
      </w:r>
    </w:p>
    <w:p w:rsidR="00000000" w:rsidRPr="004D7A70" w:rsidP="00C07814">
      <w:pPr>
        <w:pStyle w:val="BodyText"/>
      </w:pPr>
      <w:r w:rsidRPr="004D7A70">
        <w:t>No licensing, legislative or certification requirements apply to this unit at the time of publication.</w:t>
      </w:r>
    </w:p>
    <w:p w:rsidR="00000000" w:rsidRPr="004D7A70" w:rsidP="004D7A70">
      <w:pPr>
        <w:pStyle w:val="Heading1"/>
      </w:pPr>
      <w:bookmarkStart w:id="3" w:name="O_921601"/>
      <w:bookmarkEnd w:id="3"/>
      <w:r w:rsidRPr="004D7A70">
        <w:t>Pre-requisite Unit</w:t>
      </w:r>
    </w:p>
    <w:p w:rsidR="00000000" w:rsidRPr="004D7A70" w:rsidP="00C07814">
      <w:pPr>
        <w:pStyle w:val="BodyText"/>
      </w:pPr>
      <w:r w:rsidRPr="004D7A70">
        <w:t>Nil</w:t>
      </w:r>
    </w:p>
    <w:p w:rsidR="00000000" w:rsidRPr="004D7A70" w:rsidP="004D7A70">
      <w:pPr>
        <w:pStyle w:val="Heading1"/>
      </w:pPr>
      <w:bookmarkStart w:id="4" w:name="O_921600"/>
      <w:bookmarkEnd w:id="4"/>
      <w:r w:rsidRPr="004D7A70">
        <w:t>Competency Field</w:t>
      </w:r>
    </w:p>
    <w:p w:rsidR="00000000" w:rsidRPr="004D7A70" w:rsidP="00C07814">
      <w:pPr>
        <w:pStyle w:val="BodyText"/>
      </w:pPr>
      <w:r w:rsidRPr="004D7A70">
        <w:t>Competitive systems and practices</w:t>
      </w:r>
    </w:p>
    <w:p w:rsidR="00000000" w:rsidRPr="004D7A70" w:rsidP="004D7A70">
      <w:pPr>
        <w:pStyle w:val="Heading1"/>
      </w:pPr>
      <w:bookmarkStart w:id="5" w:name="O_921599"/>
      <w:bookmarkEnd w:id="5"/>
      <w:r w:rsidRPr="004D7A70">
        <w:t>Unit Sector</w:t>
      </w:r>
    </w:p>
    <w:p w:rsidR="00000000" w:rsidRPr="004D7A70" w:rsidP="00C07814">
      <w:pPr>
        <w:pStyle w:val="BodyText"/>
      </w:pPr>
      <w:r w:rsidRPr="004D7A70">
        <w:t xml:space="preserve">Not </w:t>
      </w:r>
      <w:r w:rsidRPr="004D7A70">
        <w:t>applicable</w:t>
      </w:r>
    </w:p>
    <w:p w:rsidR="00000000" w:rsidRPr="004D7A70" w:rsidP="004D7A70">
      <w:pPr>
        <w:pStyle w:val="Heading1"/>
      </w:pPr>
      <w:bookmarkStart w:id="6" w:name="O_921598"/>
      <w:bookmarkEnd w:id="6"/>
      <w:r w:rsidRPr="004D7A70">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4D7A70">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Performance criteria describe the performance needed to demonstrate achievement of the element.</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7A70" w:rsidP="004D7A70">
            <w:pPr>
              <w:pStyle w:val="BodyText"/>
            </w:pPr>
            <w:r w:rsidRPr="004D7A70">
              <w:t>1</w:t>
            </w:r>
          </w:p>
        </w:tc>
        <w:tc>
          <w:tcPr>
            <w:tcW w:w="1962" w:type="dxa"/>
            <w:vMerge w:val="restart"/>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Interpret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1.1</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Analyse proactive maintenance strategy.</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1.2</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Identify areas which may conflict with cyclical requirements.</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1.3</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Identify critical conditions which must be met in order to maintain plant reliability until season end.</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1.4</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Compile cycle requirements for proactive maintenance strategy.</w:t>
            </w:r>
          </w:p>
        </w:tc>
      </w:tr>
      <w:tr w:rsidTr="004D7A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7A70">
            <w:pPr>
              <w:pStyle w:val="BodyText"/>
              <w:rPr>
                <w:lang w:val="en-NZ"/>
              </w:rPr>
            </w:pP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7A70" w:rsidP="004D7A70">
            <w:pPr>
              <w:pStyle w:val="BodyText"/>
            </w:pPr>
            <w:r w:rsidRPr="004D7A70">
              <w:t>2</w:t>
            </w:r>
          </w:p>
        </w:tc>
        <w:tc>
          <w:tcPr>
            <w:tcW w:w="1962" w:type="dxa"/>
            <w:vMerge w:val="restart"/>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Identify cyclical requirements of the process</w:t>
            </w: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2.1</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Establish when the season finishes and the expected cycle duration.</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2.2</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Identify plant items and maintenance activities which production imperatives dictate can only be completed after season end.</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2.3</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Identify critical conditions which must be met in order to maintain plant reliability until season end.</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2.4</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Compile cycle requirements for proactive maintenance strategy.</w:t>
            </w:r>
          </w:p>
        </w:tc>
      </w:tr>
      <w:tr w:rsidTr="004D7A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7A70">
            <w:pPr>
              <w:pStyle w:val="BodyText"/>
              <w:rPr>
                <w:lang w:val="en-NZ"/>
              </w:rPr>
            </w:pP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7A70" w:rsidP="004D7A70">
            <w:pPr>
              <w:pStyle w:val="BodyText"/>
            </w:pPr>
            <w:r w:rsidRPr="004D7A70">
              <w:t>3</w:t>
            </w:r>
          </w:p>
        </w:tc>
        <w:tc>
          <w:tcPr>
            <w:tcW w:w="1962" w:type="dxa"/>
            <w:vMerge w:val="restart"/>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Identify maintenance requirements of ancillary equipment</w:t>
            </w: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3.1</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Identify proactive maintenance requirements of ancillary equipment.</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3.2</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Identify maintenance which can only be done at season end.</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3.3</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Compile ancillary equipment requirements for proactive maintenance strategy.</w:t>
            </w:r>
          </w:p>
        </w:tc>
      </w:tr>
      <w:tr w:rsidTr="004D7A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7A70">
            <w:pPr>
              <w:pStyle w:val="BodyText"/>
              <w:rPr>
                <w:lang w:val="en-NZ"/>
              </w:rPr>
            </w:pP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7A70" w:rsidP="004D7A70">
            <w:pPr>
              <w:pStyle w:val="BodyText"/>
            </w:pPr>
            <w:r w:rsidRPr="004D7A70">
              <w:t>4</w:t>
            </w:r>
          </w:p>
        </w:tc>
        <w:tc>
          <w:tcPr>
            <w:tcW w:w="1962" w:type="dxa"/>
            <w:vMerge w:val="restart"/>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 xml:space="preserve">Identify </w:t>
            </w:r>
            <w:r w:rsidRPr="004D7A70">
              <w:rPr>
                <w:rStyle w:val="SpecialBold"/>
              </w:rPr>
              <w:t>maintenance requirements during season</w:t>
            </w: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4.1</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 xml:space="preserve">Identify critical maintenance activities which must be </w:t>
            </w:r>
            <w:r w:rsidRPr="004D7A70">
              <w:t>done during season.</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4.2</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Negotiate conflicts with seasonal or cyclical processing requirements.</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4.3</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Compile proactive maintenance strategy requirements during season.</w:t>
            </w:r>
          </w:p>
        </w:tc>
      </w:tr>
      <w:tr w:rsidTr="004D7A70">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4D7A70">
            <w:pPr>
              <w:pStyle w:val="BodyText"/>
              <w:rPr>
                <w:lang w:val="en-NZ"/>
              </w:rPr>
            </w:pP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4D7A70" w:rsidP="004D7A70">
            <w:pPr>
              <w:pStyle w:val="BodyText"/>
            </w:pPr>
            <w:r w:rsidRPr="004D7A70">
              <w:t>5</w:t>
            </w:r>
          </w:p>
        </w:tc>
        <w:tc>
          <w:tcPr>
            <w:tcW w:w="1962" w:type="dxa"/>
            <w:vMerge w:val="restart"/>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Adapt proactive maintenance strategy</w:t>
            </w: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5.1</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Compare identified requirements to the proactive maintenance strategy.</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5.2</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Negotiate a proactive maintenance strategy which meets these requirements.</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5.3</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Involve team members in relating identified problems and opportunities for improvement to the maintenance strategy, and involve them in developing any required changes to ensure awareness, learning and commitment.</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5.4</w:t>
            </w:r>
          </w:p>
        </w:tc>
        <w:tc>
          <w:tcPr>
            <w:tcW w:w="561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Monitor the implementation of the s</w:t>
            </w:r>
            <w:r w:rsidRPr="004D7A70">
              <w:t>trategy to ensure the identified requirements are met.</w:t>
            </w:r>
          </w:p>
        </w:tc>
      </w:tr>
      <w:tr w:rsidTr="004D7A70">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5.5</w:t>
            </w:r>
          </w:p>
        </w:tc>
        <w:tc>
          <w:tcPr>
            <w:tcW w:w="5610" w:type="dxa"/>
            <w:tcBorders>
              <w:top w:val="nil"/>
              <w:left w:val="nil"/>
              <w:bottom w:val="nil"/>
              <w:right w:val="nil"/>
            </w:tcBorders>
            <w:tcMar>
              <w:top w:w="0" w:type="dxa"/>
              <w:left w:w="62" w:type="dxa"/>
              <w:bottom w:w="0" w:type="dxa"/>
              <w:right w:w="62" w:type="dxa"/>
            </w:tcMar>
          </w:tcPr>
          <w:p w:rsidR="00000000" w:rsidRPr="004D7A70" w:rsidP="004D7A70">
            <w:pPr>
              <w:pStyle w:val="BodyText"/>
            </w:pPr>
            <w:r w:rsidRPr="004D7A70">
              <w:t>Make required adjustments and arrange review schedule.</w:t>
            </w:r>
          </w:p>
        </w:tc>
      </w:tr>
    </w:tbl>
    <w:p w:rsidR="00000000" w:rsidRPr="004D7A70" w:rsidP="004D7A70">
      <w:pPr>
        <w:pStyle w:val="BodyText"/>
      </w:pPr>
    </w:p>
    <w:p w:rsidR="00000000" w:rsidRPr="004D7A70" w:rsidP="004D7A70">
      <w:pPr>
        <w:pStyle w:val="AllowPageBreak"/>
      </w:pPr>
    </w:p>
    <w:p w:rsidR="00000000" w:rsidRPr="004D7A70" w:rsidP="004D7A70">
      <w:pPr>
        <w:pStyle w:val="Heading1"/>
      </w:pPr>
      <w:bookmarkStart w:id="7" w:name="O_921597"/>
      <w:bookmarkEnd w:id="7"/>
      <w:r w:rsidRPr="004D7A70">
        <w:t>Foundation Skills</w:t>
      </w:r>
    </w:p>
    <w:p w:rsidR="00000000" w:rsidRPr="004D7A70" w:rsidP="00C07814">
      <w:pPr>
        <w:pStyle w:val="BodyText"/>
      </w:pPr>
      <w:r w:rsidRPr="004D7A70">
        <w:t>Thi</w:t>
      </w:r>
      <w:r w:rsidRPr="004D7A70">
        <w:t>s section describes those required skills (language, literacy and numeracy) that are essential to performance.</w:t>
      </w:r>
    </w:p>
    <w:p w:rsidR="00000000" w:rsidRPr="004D7A70" w:rsidP="00C07814">
      <w:pPr>
        <w:pStyle w:val="BodyText"/>
      </w:pPr>
      <w:r w:rsidRPr="004D7A70">
        <w:t>Foundation skills essential to performance are explicit in the performance criteria of this unit of competency.</w:t>
      </w:r>
    </w:p>
    <w:p w:rsidR="00000000" w:rsidRPr="004D7A70" w:rsidP="004D7A70">
      <w:pPr>
        <w:pStyle w:val="Heading1"/>
      </w:pPr>
      <w:bookmarkStart w:id="8" w:name="O_921596"/>
      <w:bookmarkEnd w:id="8"/>
      <w:r w:rsidRPr="004D7A70">
        <w:t>Range of Condit</w:t>
      </w:r>
      <w:r w:rsidRPr="004D7A70">
        <w:t>ions</w:t>
      </w:r>
    </w:p>
    <w:tbl>
      <w:tblPr>
        <w:tblW w:w="0" w:type="auto"/>
        <w:tblLayout w:type="fixed"/>
        <w:tblCellMar>
          <w:left w:w="62" w:type="dxa"/>
          <w:right w:w="62" w:type="dxa"/>
        </w:tblCellMar>
        <w:tblLook w:val="0000"/>
      </w:tblPr>
      <w:tblGrid>
        <w:gridCol w:w="2214"/>
        <w:gridCol w:w="6858"/>
      </w:tblGrid>
      <w:tr w:rsidTr="004D7A7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t>This field allows for different work environments and conditions that may affect performance. Essential operating conditions that may be present (depending on the work situation, needs of the candidate, accessibility of the item, and local industry an</w:t>
            </w:r>
            <w:r w:rsidRPr="004D7A70">
              <w:t>d regional contexts) are included.</w:t>
            </w:r>
          </w:p>
        </w:tc>
      </w:tr>
      <w:tr w:rsidTr="004D7A70">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Competitive systems and practices include one or more of:</w:t>
            </w:r>
          </w:p>
        </w:tc>
        <w:tc>
          <w:tcPr>
            <w:tcW w:w="6858" w:type="dxa"/>
            <w:tcBorders>
              <w:top w:val="nil"/>
              <w:left w:val="nil"/>
              <w:bottom w:val="nil"/>
              <w:right w:val="nil"/>
            </w:tcBorders>
            <w:tcMar>
              <w:top w:w="0" w:type="dxa"/>
              <w:left w:w="62" w:type="dxa"/>
              <w:bottom w:w="0" w:type="dxa"/>
              <w:right w:w="62" w:type="dxa"/>
            </w:tcMar>
          </w:tcPr>
          <w:p w:rsidR="00000000" w:rsidRPr="004D7A70" w:rsidP="004D7A70">
            <w:pPr>
              <w:pStyle w:val="ListBullet"/>
            </w:pPr>
            <w:r w:rsidRPr="004D7A70">
              <w:t>lean operations</w:t>
            </w:r>
          </w:p>
          <w:p w:rsidR="00000000" w:rsidRPr="004D7A70" w:rsidP="004D7A70">
            <w:pPr>
              <w:pStyle w:val="ListBullet"/>
            </w:pPr>
            <w:r w:rsidRPr="004D7A70">
              <w:t>agile operations</w:t>
            </w:r>
          </w:p>
          <w:p w:rsidR="00000000" w:rsidRPr="004D7A70" w:rsidP="004D7A70">
            <w:pPr>
              <w:pStyle w:val="ListBullet"/>
            </w:pPr>
            <w:r w:rsidRPr="004D7A70">
              <w:t>preventative and predictive maintenance approaches</w:t>
            </w:r>
          </w:p>
          <w:p w:rsidR="00000000" w:rsidRPr="004D7A70" w:rsidP="004D7A70">
            <w:pPr>
              <w:pStyle w:val="ListBullet"/>
            </w:pPr>
            <w:r w:rsidRPr="004D7A70">
              <w:t>statistical process control systems, including six sigma and three sigma</w:t>
            </w:r>
          </w:p>
          <w:p w:rsidR="00000000" w:rsidRPr="004D7A70" w:rsidP="004D7A70">
            <w:pPr>
              <w:pStyle w:val="ListBullet"/>
            </w:pPr>
            <w:r w:rsidRPr="004D7A70">
              <w:t>Just in Time (JIT), kanban and other pull-related operations control systems</w:t>
            </w:r>
          </w:p>
          <w:p w:rsidR="00000000" w:rsidRPr="004D7A70" w:rsidP="004D7A70">
            <w:pPr>
              <w:pStyle w:val="ListBullet"/>
            </w:pPr>
            <w:r w:rsidRPr="004D7A70">
              <w:t>supply, value, and demand chain monitoring and analysis</w:t>
            </w:r>
          </w:p>
          <w:p w:rsidR="00000000" w:rsidRPr="004D7A70" w:rsidP="004D7A70">
            <w:pPr>
              <w:pStyle w:val="ListBullet"/>
            </w:pPr>
            <w:r w:rsidRPr="004D7A70">
              <w:t xml:space="preserve">5S </w:t>
            </w:r>
          </w:p>
          <w:p w:rsidR="00000000" w:rsidRPr="004D7A70" w:rsidP="004D7A70">
            <w:pPr>
              <w:pStyle w:val="ListBullet"/>
            </w:pPr>
            <w:r w:rsidRPr="004D7A70">
              <w:t>continuous improvement (kaizen)</w:t>
            </w:r>
          </w:p>
          <w:p w:rsidR="00000000" w:rsidRPr="004D7A70" w:rsidP="004D7A70">
            <w:pPr>
              <w:pStyle w:val="ListBullet"/>
            </w:pPr>
            <w:r w:rsidRPr="004D7A70">
              <w:t>breakthrough improvement (kaizen blitz)</w:t>
            </w:r>
          </w:p>
          <w:p w:rsidR="00000000" w:rsidRPr="004D7A70" w:rsidP="004D7A70">
            <w:pPr>
              <w:pStyle w:val="ListBullet"/>
            </w:pPr>
            <w:r w:rsidRPr="004D7A70">
              <w:t>cause/effect diagrams</w:t>
            </w:r>
          </w:p>
          <w:p w:rsidR="00000000" w:rsidRPr="004D7A70" w:rsidP="004D7A70">
            <w:pPr>
              <w:pStyle w:val="ListBullet"/>
            </w:pPr>
            <w:r w:rsidRPr="004D7A70">
              <w:t>overall equipment effecti</w:t>
            </w:r>
            <w:r w:rsidRPr="004D7A70">
              <w:t>veness (OEE)</w:t>
            </w:r>
          </w:p>
          <w:p w:rsidR="00000000" w:rsidRPr="004D7A70" w:rsidP="004D7A70">
            <w:pPr>
              <w:pStyle w:val="ListBullet"/>
            </w:pPr>
            <w:r w:rsidRPr="004D7A70">
              <w:t>takt time</w:t>
            </w:r>
          </w:p>
          <w:p w:rsidR="00000000" w:rsidRPr="004D7A70" w:rsidP="004D7A70">
            <w:pPr>
              <w:pStyle w:val="ListBullet"/>
            </w:pPr>
            <w:r w:rsidRPr="004D7A70">
              <w:t>process mapping</w:t>
            </w:r>
          </w:p>
          <w:p w:rsidR="00000000" w:rsidRPr="004D7A70" w:rsidP="004D7A70">
            <w:pPr>
              <w:pStyle w:val="ListBullet"/>
            </w:pPr>
            <w:r w:rsidRPr="004D7A70">
              <w:t xml:space="preserve">problem solving </w:t>
            </w:r>
          </w:p>
          <w:p w:rsidR="00000000" w:rsidRPr="004D7A70" w:rsidP="004D7A70">
            <w:pPr>
              <w:pStyle w:val="ListBullet"/>
            </w:pPr>
            <w:r w:rsidRPr="004D7A70">
              <w:t>run charts</w:t>
            </w:r>
          </w:p>
          <w:p w:rsidR="00000000" w:rsidRPr="004D7A70" w:rsidP="004D7A70">
            <w:pPr>
              <w:pStyle w:val="ListBullet"/>
            </w:pPr>
            <w:r w:rsidRPr="004D7A70">
              <w:t>standard procedures</w:t>
            </w:r>
          </w:p>
          <w:p w:rsidR="00000000" w:rsidRPr="004D7A70" w:rsidP="004D7A70">
            <w:pPr>
              <w:pStyle w:val="ListBullet"/>
            </w:pPr>
            <w:r w:rsidRPr="004D7A70">
              <w:t>current reality tree.</w:t>
            </w:r>
          </w:p>
          <w:p w:rsidR="00000000" w:rsidP="004D7A70">
            <w:pPr>
              <w:pStyle w:val="BodyText"/>
              <w:rPr>
                <w:lang w:val="en-NZ"/>
              </w:rPr>
            </w:pPr>
          </w:p>
        </w:tc>
      </w:tr>
      <w:tr w:rsidTr="004D7A70">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Critical conditions include one or more of:</w:t>
            </w:r>
          </w:p>
        </w:tc>
        <w:tc>
          <w:tcPr>
            <w:tcW w:w="6858" w:type="dxa"/>
            <w:tcBorders>
              <w:top w:val="nil"/>
              <w:left w:val="nil"/>
              <w:bottom w:val="nil"/>
              <w:right w:val="nil"/>
            </w:tcBorders>
            <w:tcMar>
              <w:top w:w="0" w:type="dxa"/>
              <w:left w:w="62" w:type="dxa"/>
              <w:bottom w:w="0" w:type="dxa"/>
              <w:right w:w="62" w:type="dxa"/>
            </w:tcMar>
          </w:tcPr>
          <w:p w:rsidR="00000000" w:rsidRPr="004D7A70" w:rsidP="004D7A70">
            <w:pPr>
              <w:pStyle w:val="ListBullet"/>
            </w:pPr>
            <w:r w:rsidRPr="004D7A70">
              <w:t>maximum load factors</w:t>
            </w:r>
          </w:p>
          <w:p w:rsidR="00000000" w:rsidRPr="004D7A70" w:rsidP="004D7A70">
            <w:pPr>
              <w:pStyle w:val="ListBullet"/>
            </w:pPr>
            <w:r w:rsidRPr="004D7A70">
              <w:t>lubrication schedules</w:t>
            </w:r>
          </w:p>
          <w:p w:rsidR="00000000" w:rsidRPr="004D7A70" w:rsidP="004D7A70">
            <w:pPr>
              <w:pStyle w:val="ListBullet"/>
            </w:pPr>
            <w:r w:rsidRPr="004D7A70">
              <w:t>correct operating conditions, e.g. temperatures</w:t>
            </w:r>
          </w:p>
          <w:p w:rsidR="00000000" w:rsidRPr="004D7A70" w:rsidP="004D7A70">
            <w:pPr>
              <w:pStyle w:val="ListBullet"/>
            </w:pPr>
            <w:r w:rsidRPr="004D7A70">
              <w:t>cleaning and waste removal schedules</w:t>
            </w:r>
          </w:p>
          <w:p w:rsidR="00000000" w:rsidRPr="004D7A70" w:rsidP="004D7A70">
            <w:pPr>
              <w:pStyle w:val="ListBullet"/>
            </w:pPr>
            <w:r w:rsidRPr="004D7A70">
              <w:t>equipment inspection and test schedules</w:t>
            </w:r>
          </w:p>
          <w:p w:rsidR="00000000" w:rsidRPr="004D7A70" w:rsidP="004D7A70">
            <w:pPr>
              <w:pStyle w:val="ListBullet"/>
            </w:pPr>
            <w:r w:rsidRPr="004D7A70">
              <w:t>development of standard operating procedures and training of operators.</w:t>
            </w:r>
          </w:p>
          <w:p w:rsidR="00000000" w:rsidP="004D7A70">
            <w:pPr>
              <w:pStyle w:val="BodyText"/>
              <w:rPr>
                <w:lang w:val="en-NZ"/>
              </w:rPr>
            </w:pPr>
          </w:p>
        </w:tc>
      </w:tr>
      <w:tr w:rsidTr="004D7A70">
        <w:tblPrEx>
          <w:tblW w:w="0" w:type="auto"/>
          <w:tblLayout w:type="fixed"/>
          <w:tblCellMar>
            <w:left w:w="62" w:type="dxa"/>
            <w:right w:w="62" w:type="dxa"/>
          </w:tblCellMar>
          <w:tblLook w:val="0000"/>
        </w:tblPrEx>
        <w:tc>
          <w:tcPr>
            <w:tcW w:w="2214" w:type="dxa"/>
            <w:tcBorders>
              <w:top w:val="nil"/>
              <w:left w:val="nil"/>
              <w:bottom w:val="nil"/>
              <w:right w:val="nil"/>
            </w:tcBorders>
            <w:tcMar>
              <w:top w:w="0" w:type="dxa"/>
              <w:left w:w="62" w:type="dxa"/>
              <w:bottom w:w="0" w:type="dxa"/>
              <w:right w:w="62" w:type="dxa"/>
            </w:tcMar>
          </w:tcPr>
          <w:p w:rsidR="00000000" w:rsidP="004D7A70">
            <w:pPr>
              <w:pStyle w:val="BodyText"/>
              <w:rPr>
                <w:lang w:val="en-NZ"/>
              </w:rPr>
            </w:pPr>
            <w:r w:rsidRPr="004D7A70">
              <w:rPr>
                <w:rStyle w:val="SpecialBold"/>
              </w:rPr>
              <w:t>Ancillary equipment includes one or more of:</w:t>
            </w:r>
          </w:p>
        </w:tc>
        <w:tc>
          <w:tcPr>
            <w:tcW w:w="6858" w:type="dxa"/>
            <w:tcBorders>
              <w:top w:val="nil"/>
              <w:left w:val="nil"/>
              <w:bottom w:val="nil"/>
              <w:right w:val="nil"/>
            </w:tcBorders>
            <w:tcMar>
              <w:top w:w="0" w:type="dxa"/>
              <w:left w:w="62" w:type="dxa"/>
              <w:bottom w:w="0" w:type="dxa"/>
              <w:right w:w="62" w:type="dxa"/>
            </w:tcMar>
          </w:tcPr>
          <w:p w:rsidR="00000000" w:rsidRPr="004D7A70" w:rsidP="004D7A70">
            <w:pPr>
              <w:pStyle w:val="ListBullet"/>
            </w:pPr>
            <w:r w:rsidRPr="004D7A70">
              <w:t>boilers</w:t>
            </w:r>
          </w:p>
          <w:p w:rsidR="00000000" w:rsidRPr="004D7A70" w:rsidP="004D7A70">
            <w:pPr>
              <w:pStyle w:val="ListBullet"/>
            </w:pPr>
            <w:r w:rsidRPr="004D7A70">
              <w:t>utilities</w:t>
            </w:r>
          </w:p>
          <w:p w:rsidR="00000000" w:rsidRPr="004D7A70" w:rsidP="004D7A70">
            <w:pPr>
              <w:pStyle w:val="ListBullet"/>
            </w:pPr>
            <w:r w:rsidRPr="004D7A70">
              <w:t>plants</w:t>
            </w:r>
          </w:p>
          <w:p w:rsidR="00000000" w:rsidRPr="004D7A70" w:rsidP="004D7A70">
            <w:pPr>
              <w:pStyle w:val="ListBullet"/>
            </w:pPr>
            <w:r w:rsidRPr="004D7A70">
              <w:t>waste treatment and hazard control</w:t>
            </w:r>
            <w:r w:rsidRPr="004D7A70">
              <w:t xml:space="preserve"> equipment (e.g. fire ring mains, fire monitors, steam curtains, gas (or other loss of containment) monitors, blast protection and flare stacks).</w:t>
            </w:r>
          </w:p>
          <w:p w:rsidR="00000000" w:rsidRPr="004D7A70" w:rsidP="004D7A70">
            <w:pPr>
              <w:pStyle w:val="BodyText"/>
            </w:pPr>
          </w:p>
        </w:tc>
      </w:tr>
    </w:tbl>
    <w:p w:rsidR="00000000" w:rsidRPr="004D7A70" w:rsidP="004D7A70">
      <w:pPr>
        <w:pStyle w:val="BodyText"/>
      </w:pPr>
    </w:p>
    <w:p w:rsidR="00000000" w:rsidRPr="004D7A70" w:rsidP="004D7A70">
      <w:pPr>
        <w:pStyle w:val="AllowPageBreak"/>
      </w:pPr>
    </w:p>
    <w:p w:rsidR="00000000" w:rsidRPr="004D7A70" w:rsidP="004D7A70">
      <w:pPr>
        <w:pStyle w:val="Heading1"/>
      </w:pPr>
      <w:bookmarkStart w:id="9" w:name="O_921595"/>
      <w:bookmarkEnd w:id="9"/>
      <w:r w:rsidRPr="004D7A70">
        <w:t>Unit Mapping Information</w:t>
      </w:r>
    </w:p>
    <w:p w:rsidR="00000000" w:rsidRPr="004D7A70" w:rsidP="00C07814">
      <w:pPr>
        <w:pStyle w:val="BodyText"/>
      </w:pPr>
      <w:r w:rsidRPr="004D7A70">
        <w:t>Release 1. Supersedes and is equivalent to MSS405083</w:t>
      </w:r>
      <w:r w:rsidRPr="004D7A70">
        <w:t>A Adapt a proactive maintenance strategy for a seasonal or cyclical business</w:t>
      </w:r>
    </w:p>
    <w:p w:rsidR="00000000" w:rsidRPr="004D7A70" w:rsidP="004D7A70">
      <w:pPr>
        <w:pStyle w:val="Heading1"/>
      </w:pPr>
      <w:bookmarkStart w:id="10" w:name="O_921588"/>
      <w:bookmarkEnd w:id="10"/>
      <w:r w:rsidRPr="004D7A70">
        <w:t>Links</w:t>
      </w:r>
    </w:p>
    <w:p w:rsidR="00000000" w:rsidRPr="004D7A70" w:rsidP="00C07814">
      <w:pPr>
        <w:pStyle w:val="BodyText"/>
      </w:pPr>
      <w:r w:rsidRPr="004D7A70">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2923C5">
        <w:rPr>
          <w:rStyle w:val="Hyperlink"/>
        </w:rPr>
        <w:t>https://vetnet.gov.au/Pages/TrainingDocs.aspx?q=5b04f318-804f-4dc0-9463-c3fb9a3fe998</w:t>
      </w:r>
      <w:r>
        <w:fldChar w:fldCharType="end"/>
      </w:r>
    </w:p>
    <w:p w:rsidR="00000000" w:rsidRPr="004D7A70" w:rsidP="004D7A70"/>
    <w:sectPr w:rsidSect="004D7A70">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70" w:rsidRPr="00C07814" w:rsidP="00C0781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14" w:rsidP="004D7A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C07814" w:rsidP="004D7A70">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C07814" w:rsidP="004D7A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1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D7A70" w:rsidRPr="00C07814" w:rsidP="00C0781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A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07814" w:rsidRPr="002D2AF8" w:rsidP="004D7A70">
    <w:pPr>
      <w:pStyle w:val="Header"/>
      <w:framePr w:wrap="around"/>
    </w:pPr>
    <w:r>
      <w:fldChar w:fldCharType="begin"/>
    </w:r>
    <w:r>
      <w:instrText xml:space="preserve"> TITLE   \* MERGEFORMAT </w:instrText>
    </w:r>
    <w:r>
      <w:fldChar w:fldCharType="separate"/>
    </w:r>
    <w:r>
      <w:t>MSS405083 Adapt a proactive maintenance strategy for a seasonal or cyclical business</w:t>
    </w:r>
    <w:r>
      <w:fldChar w:fldCharType="end"/>
    </w:r>
    <w:r>
      <w:tab/>
      <w:t xml:space="preserve">Date this document was generated: </w:t>
    </w:r>
    <w:r>
      <w:fldChar w:fldCharType="begin"/>
    </w:r>
    <w:r>
      <w:instrText xml:space="preserve"> CREATEDATE  \@ "d MMMM yyyy"  \* MERGEFORMAT </w:instrText>
    </w:r>
    <w:r>
      <w:fldChar w:fldCharType="separate"/>
    </w:r>
    <w:r>
      <w:rPr>
        <w:noProof/>
      </w:rPr>
      <w:t>5 April 2022</w:t>
    </w:r>
    <w:r>
      <w:fldChar w:fldCharType="end"/>
    </w:r>
  </w:p>
  <w:p w:rsidR="00C07814" w:rsidP="004D7A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720A67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D916B1B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7A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D7A70"/>
    <w:pPr>
      <w:spacing w:before="360" w:after="60"/>
      <w:outlineLvl w:val="0"/>
    </w:pPr>
    <w:rPr>
      <w:sz w:val="32"/>
    </w:rPr>
  </w:style>
  <w:style w:type="paragraph" w:styleId="Heading2">
    <w:name w:val="heading 2"/>
    <w:basedOn w:val="HeadingBase"/>
    <w:next w:val="BodyText"/>
    <w:link w:val="Heading2Char"/>
    <w:qFormat/>
    <w:rsid w:val="004D7A70"/>
    <w:pPr>
      <w:keepLines/>
      <w:spacing w:before="240" w:after="120"/>
      <w:outlineLvl w:val="1"/>
    </w:pPr>
    <w:rPr>
      <w:sz w:val="28"/>
      <w:szCs w:val="40"/>
    </w:rPr>
  </w:style>
  <w:style w:type="paragraph" w:styleId="Heading3">
    <w:name w:val="heading 3"/>
    <w:basedOn w:val="HeadingBase"/>
    <w:next w:val="BodyText"/>
    <w:link w:val="Heading3Char"/>
    <w:qFormat/>
    <w:rsid w:val="004D7A70"/>
    <w:pPr>
      <w:spacing w:before="180" w:after="120"/>
      <w:outlineLvl w:val="2"/>
    </w:pPr>
    <w:rPr>
      <w:spacing w:val="-10"/>
      <w:kern w:val="32"/>
    </w:rPr>
  </w:style>
  <w:style w:type="paragraph" w:styleId="Heading4">
    <w:name w:val="heading 4"/>
    <w:basedOn w:val="HeadingBase"/>
    <w:next w:val="BodyText"/>
    <w:link w:val="Heading4Char"/>
    <w:qFormat/>
    <w:rsid w:val="004D7A70"/>
    <w:pPr>
      <w:spacing w:before="160" w:after="120"/>
      <w:outlineLvl w:val="3"/>
    </w:pPr>
    <w:rPr>
      <w:sz w:val="22"/>
    </w:rPr>
  </w:style>
  <w:style w:type="paragraph" w:styleId="Heading5">
    <w:name w:val="heading 5"/>
    <w:basedOn w:val="HeadingBase"/>
    <w:next w:val="Normal"/>
    <w:link w:val="Heading5Char"/>
    <w:qFormat/>
    <w:rsid w:val="004D7A70"/>
    <w:pPr>
      <w:spacing w:before="80"/>
      <w:outlineLvl w:val="4"/>
    </w:pPr>
    <w:rPr>
      <w:color w:val="918585"/>
      <w:sz w:val="20"/>
    </w:rPr>
  </w:style>
  <w:style w:type="paragraph" w:styleId="Heading6">
    <w:name w:val="heading 6"/>
    <w:basedOn w:val="HeadingBase"/>
    <w:next w:val="Normal"/>
    <w:link w:val="Heading6Char"/>
    <w:qFormat/>
    <w:rsid w:val="004D7A70"/>
    <w:pPr>
      <w:spacing w:before="60"/>
      <w:outlineLvl w:val="5"/>
    </w:pPr>
    <w:rPr>
      <w:color w:val="918585"/>
      <w:sz w:val="20"/>
    </w:rPr>
  </w:style>
  <w:style w:type="paragraph" w:styleId="Heading7">
    <w:name w:val="heading 7"/>
    <w:basedOn w:val="Normal"/>
    <w:next w:val="Normal"/>
    <w:link w:val="Heading7Char"/>
    <w:qFormat/>
    <w:rsid w:val="004D7A70"/>
    <w:pPr>
      <w:ind w:left="720"/>
      <w:outlineLvl w:val="6"/>
    </w:pPr>
    <w:rPr>
      <w:i/>
    </w:rPr>
  </w:style>
  <w:style w:type="paragraph" w:styleId="Heading8">
    <w:name w:val="heading 8"/>
    <w:basedOn w:val="Normal"/>
    <w:next w:val="Normal"/>
    <w:link w:val="Heading8Char"/>
    <w:qFormat/>
    <w:rsid w:val="004D7A70"/>
    <w:pPr>
      <w:ind w:left="720"/>
      <w:outlineLvl w:val="7"/>
    </w:pPr>
    <w:rPr>
      <w:i/>
    </w:rPr>
  </w:style>
  <w:style w:type="paragraph" w:styleId="Heading9">
    <w:name w:val="heading 9"/>
    <w:basedOn w:val="Normal"/>
    <w:next w:val="Normal"/>
    <w:link w:val="Heading9Char"/>
    <w:qFormat/>
    <w:rsid w:val="004D7A70"/>
    <w:pPr>
      <w:ind w:left="720"/>
      <w:outlineLvl w:val="8"/>
    </w:pPr>
    <w:rPr>
      <w:i/>
    </w:rPr>
  </w:style>
  <w:style w:type="character" w:default="1" w:styleId="DefaultParagraphFont">
    <w:name w:val="Default Paragraph Font"/>
    <w:uiPriority w:val="1"/>
    <w:unhideWhenUsed/>
    <w:rsid w:val="004D7A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D7A70"/>
  </w:style>
  <w:style w:type="character" w:customStyle="1" w:styleId="Heading1Char">
    <w:name w:val="Heading 1 Char"/>
    <w:basedOn w:val="DefaultParagraphFont"/>
    <w:link w:val="Heading1"/>
    <w:rsid w:val="004D7A70"/>
    <w:rPr>
      <w:rFonts w:ascii="Times New Roman" w:eastAsia="Times New Roman" w:hAnsi="Times New Roman" w:cs="Times New Roman"/>
      <w:b/>
      <w:sz w:val="32"/>
      <w:szCs w:val="20"/>
      <w:lang w:eastAsia="en-US"/>
    </w:rPr>
  </w:style>
  <w:style w:type="paragraph" w:styleId="BodyText">
    <w:name w:val="Body Text"/>
    <w:basedOn w:val="Normal"/>
    <w:link w:val="BodyTextChar"/>
    <w:rsid w:val="004D7A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4D7A70"/>
    <w:rPr>
      <w:rFonts w:ascii="Times New Roman" w:eastAsia="Times New Roman" w:hAnsi="Times New Roman" w:cs="Times New Roman"/>
      <w:sz w:val="24"/>
      <w:lang w:eastAsia="en-US"/>
    </w:rPr>
  </w:style>
  <w:style w:type="paragraph" w:styleId="ListBullet">
    <w:name w:val="List Bullet"/>
    <w:basedOn w:val="List"/>
    <w:rsid w:val="004D7A70"/>
    <w:pPr>
      <w:numPr>
        <w:numId w:val="11"/>
      </w:numPr>
      <w:tabs>
        <w:tab w:val="clear" w:pos="340"/>
      </w:tabs>
      <w:spacing w:before="40" w:after="40"/>
    </w:pPr>
  </w:style>
  <w:style w:type="character" w:customStyle="1" w:styleId="SpecialBold">
    <w:name w:val="Special Bold"/>
    <w:basedOn w:val="DefaultParagraphFont"/>
    <w:rsid w:val="004D7A70"/>
    <w:rPr>
      <w:b/>
      <w:spacing w:val="0"/>
    </w:rPr>
  </w:style>
  <w:style w:type="paragraph" w:customStyle="1" w:styleId="SuperHeading">
    <w:name w:val="SuperHeading"/>
    <w:basedOn w:val="Normal"/>
    <w:rsid w:val="004D7A70"/>
    <w:pPr>
      <w:spacing w:before="240" w:after="120"/>
      <w:outlineLvl w:val="0"/>
    </w:pPr>
    <w:rPr>
      <w:rFonts w:ascii="Times New Roman" w:hAnsi="Times New Roman"/>
      <w:b/>
      <w:sz w:val="32"/>
    </w:rPr>
  </w:style>
  <w:style w:type="paragraph" w:customStyle="1" w:styleId="AllowPageBreak">
    <w:name w:val="AllowPageBreak"/>
    <w:rsid w:val="004D7A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D7A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D7A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D7A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D7A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D7A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D7A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D7A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D7A70"/>
    <w:rPr>
      <w:rFonts w:ascii="Courier New" w:eastAsia="Times New Roman" w:hAnsi="Courier New" w:cs="Times New Roman"/>
      <w:i/>
      <w:szCs w:val="20"/>
      <w:lang w:eastAsia="en-US"/>
    </w:rPr>
  </w:style>
  <w:style w:type="paragraph" w:customStyle="1" w:styleId="HeadingBase">
    <w:name w:val="Heading Base"/>
    <w:rsid w:val="004D7A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D7A70"/>
    <w:pPr>
      <w:tabs>
        <w:tab w:val="right" w:leader="dot" w:pos="9072"/>
      </w:tabs>
      <w:ind w:left="567"/>
    </w:pPr>
    <w:rPr>
      <w:szCs w:val="22"/>
    </w:rPr>
  </w:style>
  <w:style w:type="paragraph" w:customStyle="1" w:styleId="TOCBase">
    <w:name w:val="TOC Base"/>
    <w:rsid w:val="004D7A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D7A70"/>
    <w:pPr>
      <w:tabs>
        <w:tab w:val="right" w:leader="dot" w:pos="9072"/>
      </w:tabs>
      <w:spacing w:before="40" w:after="40"/>
      <w:ind w:left="284"/>
    </w:pPr>
    <w:rPr>
      <w:rFonts w:ascii="Times New Roman" w:hAnsi="Times New Roman"/>
    </w:rPr>
  </w:style>
  <w:style w:type="paragraph" w:styleId="TOC1">
    <w:name w:val="toc 1"/>
    <w:basedOn w:val="TOCBase"/>
    <w:next w:val="Normal"/>
    <w:rsid w:val="004D7A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D7A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D7A70"/>
    <w:rPr>
      <w:rFonts w:ascii="Times New Roman" w:eastAsia="Times New Roman" w:hAnsi="Times New Roman" w:cs="Times New Roman"/>
      <w:sz w:val="16"/>
      <w:lang w:eastAsia="en-US"/>
    </w:rPr>
  </w:style>
  <w:style w:type="paragraph" w:styleId="Title">
    <w:name w:val="Title"/>
    <w:basedOn w:val="HeadingBase"/>
    <w:link w:val="TitleChar"/>
    <w:qFormat/>
    <w:rsid w:val="004D7A70"/>
    <w:pPr>
      <w:spacing w:before="5040"/>
      <w:jc w:val="center"/>
    </w:pPr>
    <w:rPr>
      <w:sz w:val="48"/>
      <w:szCs w:val="72"/>
      <w:lang w:val="en-US"/>
    </w:rPr>
  </w:style>
  <w:style w:type="character" w:customStyle="1" w:styleId="TitleChar">
    <w:name w:val="Title Char"/>
    <w:basedOn w:val="DefaultParagraphFont"/>
    <w:link w:val="Title"/>
    <w:rsid w:val="004D7A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D7A70"/>
    <w:pPr>
      <w:tabs>
        <w:tab w:val="left" w:pos="3600"/>
        <w:tab w:val="left" w:pos="3958"/>
      </w:tabs>
    </w:pPr>
  </w:style>
  <w:style w:type="paragraph" w:styleId="List">
    <w:name w:val="List"/>
    <w:basedOn w:val="BodyText"/>
    <w:next w:val="BodyText"/>
    <w:rsid w:val="004D7A70"/>
    <w:pPr>
      <w:tabs>
        <w:tab w:val="left" w:pos="340"/>
      </w:tabs>
      <w:spacing w:before="60" w:after="60"/>
      <w:ind w:left="340" w:hanging="340"/>
    </w:pPr>
  </w:style>
  <w:style w:type="paragraph" w:customStyle="1" w:styleId="Note">
    <w:name w:val="Note"/>
    <w:basedOn w:val="BodyText"/>
    <w:rsid w:val="004D7A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D7A70"/>
    <w:pPr>
      <w:framePr w:wrap="auto" w:hAnchor="text" w:y="6049"/>
    </w:pPr>
    <w:rPr>
      <w:color w:val="000000"/>
      <w:sz w:val="40"/>
    </w:rPr>
  </w:style>
  <w:style w:type="paragraph" w:customStyle="1" w:styleId="TOCTitle">
    <w:name w:val="TOCTitle"/>
    <w:basedOn w:val="Heading1"/>
    <w:rsid w:val="004D7A70"/>
    <w:pPr>
      <w:spacing w:after="240"/>
      <w:jc w:val="center"/>
      <w:outlineLvl w:val="9"/>
    </w:pPr>
    <w:rPr>
      <w:caps/>
    </w:rPr>
  </w:style>
  <w:style w:type="paragraph" w:customStyle="1" w:styleId="Version">
    <w:name w:val="Version"/>
    <w:rsid w:val="004D7A7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4D7A70"/>
    <w:pPr>
      <w:numPr>
        <w:numId w:val="12"/>
      </w:numPr>
      <w:tabs>
        <w:tab w:val="clear" w:pos="680"/>
      </w:tabs>
    </w:pPr>
  </w:style>
  <w:style w:type="paragraph" w:styleId="Index1">
    <w:name w:val="index 1"/>
    <w:basedOn w:val="Normal"/>
    <w:next w:val="Normal"/>
    <w:semiHidden/>
    <w:rsid w:val="004D7A70"/>
    <w:pPr>
      <w:keepNext w:val="0"/>
      <w:tabs>
        <w:tab w:val="right" w:pos="4176"/>
      </w:tabs>
      <w:ind w:left="198" w:hanging="198"/>
    </w:pPr>
    <w:rPr>
      <w:rFonts w:ascii="Garamond" w:hAnsi="Garamond"/>
    </w:rPr>
  </w:style>
  <w:style w:type="paragraph" w:styleId="IndexHeading">
    <w:name w:val="index heading"/>
    <w:basedOn w:val="Normal"/>
    <w:next w:val="Index1"/>
    <w:semiHidden/>
    <w:rsid w:val="004D7A70"/>
    <w:pPr>
      <w:spacing w:before="120" w:after="120"/>
    </w:pPr>
    <w:rPr>
      <w:rFonts w:ascii="Arial" w:hAnsi="Arial"/>
      <w:b/>
      <w:color w:val="918585"/>
      <w:sz w:val="24"/>
    </w:rPr>
  </w:style>
  <w:style w:type="paragraph" w:styleId="Header">
    <w:name w:val="header"/>
    <w:basedOn w:val="Normal"/>
    <w:link w:val="HeaderChar"/>
    <w:rsid w:val="004D7A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D7A70"/>
    <w:rPr>
      <w:rFonts w:ascii="Times New Roman" w:eastAsia="Times New Roman" w:hAnsi="Times New Roman" w:cs="Times New Roman"/>
      <w:sz w:val="16"/>
      <w:szCs w:val="20"/>
      <w:lang w:val="en-GB" w:eastAsia="en-US"/>
    </w:rPr>
  </w:style>
  <w:style w:type="paragraph" w:customStyle="1" w:styleId="Chapter">
    <w:name w:val="Chapter"/>
    <w:basedOn w:val="Normal"/>
    <w:rsid w:val="004D7A70"/>
    <w:pPr>
      <w:spacing w:before="240"/>
    </w:pPr>
    <w:rPr>
      <w:rFonts w:ascii="Times New Roman" w:hAnsi="Times New Roman"/>
      <w:smallCaps/>
      <w:spacing w:val="80"/>
      <w:sz w:val="28"/>
    </w:rPr>
  </w:style>
  <w:style w:type="paragraph" w:customStyle="1" w:styleId="InChapter">
    <w:name w:val="InChapter"/>
    <w:basedOn w:val="Heading3"/>
    <w:rsid w:val="004D7A70"/>
    <w:pPr>
      <w:spacing w:after="240"/>
      <w:outlineLvl w:val="9"/>
    </w:pPr>
    <w:rPr>
      <w:noProof/>
    </w:rPr>
  </w:style>
  <w:style w:type="paragraph" w:styleId="Index2">
    <w:name w:val="index 2"/>
    <w:basedOn w:val="Normal"/>
    <w:next w:val="Normal"/>
    <w:semiHidden/>
    <w:rsid w:val="004D7A70"/>
    <w:pPr>
      <w:tabs>
        <w:tab w:val="right" w:pos="4176"/>
      </w:tabs>
      <w:ind w:left="568" w:hanging="284"/>
    </w:pPr>
    <w:rPr>
      <w:rFonts w:ascii="Garamond" w:hAnsi="Garamond"/>
    </w:rPr>
  </w:style>
  <w:style w:type="paragraph" w:customStyle="1" w:styleId="Byline">
    <w:name w:val="Byline"/>
    <w:rsid w:val="004D7A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D7A70"/>
    <w:pPr>
      <w:tabs>
        <w:tab w:val="clear" w:pos="3600"/>
        <w:tab w:val="clear" w:pos="3958"/>
      </w:tabs>
      <w:jc w:val="right"/>
    </w:pPr>
  </w:style>
  <w:style w:type="character" w:styleId="Emphasis">
    <w:name w:val="Emphasis"/>
    <w:basedOn w:val="DefaultParagraphFont"/>
    <w:qFormat/>
    <w:rsid w:val="004D7A70"/>
    <w:rPr>
      <w:i/>
    </w:rPr>
  </w:style>
  <w:style w:type="paragraph" w:styleId="Caption">
    <w:name w:val="caption"/>
    <w:basedOn w:val="BodyText"/>
    <w:next w:val="Normal"/>
    <w:qFormat/>
    <w:rsid w:val="004D7A70"/>
    <w:pPr>
      <w:framePr w:w="2268" w:hSpace="181" w:vSpace="181" w:wrap="around" w:vAnchor="text" w:hAnchor="page" w:x="1135" w:y="285" w:anchorLock="1"/>
    </w:pPr>
    <w:rPr>
      <w:i/>
    </w:rPr>
  </w:style>
  <w:style w:type="paragraph" w:customStyle="1" w:styleId="MiniTOCTitle">
    <w:name w:val="MiniTOCTitle"/>
    <w:basedOn w:val="Heading4"/>
    <w:rsid w:val="004D7A70"/>
    <w:pPr>
      <w:spacing w:before="240"/>
      <w:outlineLvl w:val="9"/>
    </w:pPr>
    <w:rPr>
      <w:noProof/>
      <w:sz w:val="24"/>
    </w:rPr>
  </w:style>
  <w:style w:type="paragraph" w:customStyle="1" w:styleId="MiniTOCItem">
    <w:name w:val="MiniTOCItem"/>
    <w:basedOn w:val="ListBullet"/>
    <w:rsid w:val="004D7A70"/>
    <w:pPr>
      <w:numPr>
        <w:numId w:val="0"/>
      </w:numPr>
      <w:tabs>
        <w:tab w:val="right" w:leader="dot" w:pos="6521"/>
      </w:tabs>
      <w:spacing w:before="0" w:after="0"/>
    </w:pPr>
  </w:style>
  <w:style w:type="paragraph" w:customStyle="1" w:styleId="TOFTitle">
    <w:name w:val="TOFTitle"/>
    <w:basedOn w:val="TOCTitle"/>
    <w:rsid w:val="004D7A70"/>
  </w:style>
  <w:style w:type="paragraph" w:styleId="TableofFigures">
    <w:name w:val="table of figures"/>
    <w:basedOn w:val="Normal"/>
    <w:next w:val="Normal"/>
    <w:semiHidden/>
    <w:rsid w:val="004D7A70"/>
    <w:pPr>
      <w:tabs>
        <w:tab w:val="right" w:leader="dot" w:pos="9072"/>
      </w:tabs>
      <w:ind w:left="970" w:hanging="403"/>
    </w:pPr>
    <w:rPr>
      <w:rFonts w:ascii="Times New Roman" w:hAnsi="Times New Roman"/>
      <w:b/>
    </w:rPr>
  </w:style>
  <w:style w:type="paragraph" w:styleId="ListNumber">
    <w:name w:val="List Number"/>
    <w:basedOn w:val="List"/>
    <w:rsid w:val="004D7A70"/>
    <w:pPr>
      <w:numPr>
        <w:numId w:val="14"/>
      </w:numPr>
      <w:tabs>
        <w:tab w:val="clear" w:pos="340"/>
      </w:tabs>
    </w:pPr>
  </w:style>
  <w:style w:type="character" w:customStyle="1" w:styleId="WingdingSymbols">
    <w:name w:val="Wingding Symbols"/>
    <w:rsid w:val="004D7A70"/>
    <w:rPr>
      <w:rFonts w:ascii="Wingdings" w:hAnsi="Wingdings"/>
    </w:rPr>
  </w:style>
  <w:style w:type="paragraph" w:customStyle="1" w:styleId="TableHeading">
    <w:name w:val="Table Heading"/>
    <w:basedOn w:val="HeadingBase"/>
    <w:rsid w:val="004D7A70"/>
    <w:pPr>
      <w:keepLines/>
      <w:pBdr>
        <w:bottom w:val="single" w:sz="6" w:space="1" w:color="918585"/>
      </w:pBdr>
      <w:spacing w:before="240"/>
    </w:pPr>
  </w:style>
  <w:style w:type="character" w:customStyle="1" w:styleId="HotSpot">
    <w:name w:val="HotSpot"/>
    <w:rsid w:val="004D7A70"/>
    <w:rPr>
      <w:color w:val="0033CC"/>
      <w:u w:val="none"/>
    </w:rPr>
  </w:style>
  <w:style w:type="paragraph" w:customStyle="1" w:styleId="BodyTextRight">
    <w:name w:val="Body Text Right"/>
    <w:basedOn w:val="BodyText"/>
    <w:rsid w:val="004D7A70"/>
    <w:pPr>
      <w:spacing w:before="0" w:after="0"/>
      <w:jc w:val="right"/>
    </w:pPr>
  </w:style>
  <w:style w:type="paragraph" w:styleId="Index3">
    <w:name w:val="index 3"/>
    <w:basedOn w:val="ListNumber2"/>
    <w:next w:val="Normal"/>
    <w:semiHidden/>
    <w:rsid w:val="004D7A70"/>
    <w:pPr>
      <w:numPr>
        <w:numId w:val="0"/>
      </w:numPr>
      <w:tabs>
        <w:tab w:val="right" w:leader="dot" w:pos="4176"/>
      </w:tabs>
    </w:pPr>
  </w:style>
  <w:style w:type="paragraph" w:styleId="ListNumber2">
    <w:name w:val="List Number 2"/>
    <w:basedOn w:val="List2"/>
    <w:rsid w:val="004D7A70"/>
    <w:pPr>
      <w:numPr>
        <w:numId w:val="9"/>
      </w:numPr>
      <w:tabs>
        <w:tab w:val="clear" w:pos="1060"/>
      </w:tabs>
    </w:pPr>
  </w:style>
  <w:style w:type="paragraph" w:customStyle="1" w:styleId="MarginNote">
    <w:name w:val="Margin Note"/>
    <w:basedOn w:val="BodyText"/>
    <w:rsid w:val="004D7A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D7A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D7A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D7A70"/>
    <w:rPr>
      <w:sz w:val="32"/>
    </w:rPr>
  </w:style>
  <w:style w:type="paragraph" w:customStyle="1" w:styleId="HeadingProcedure">
    <w:name w:val="Heading Procedure"/>
    <w:basedOn w:val="HeadingBase"/>
    <w:next w:val="Normal"/>
    <w:rsid w:val="004D7A70"/>
    <w:pPr>
      <w:tabs>
        <w:tab w:val="left" w:pos="0"/>
      </w:tabs>
      <w:spacing w:before="120" w:after="60"/>
    </w:pPr>
    <w:rPr>
      <w:i/>
      <w:color w:val="918585"/>
      <w:sz w:val="22"/>
    </w:rPr>
  </w:style>
  <w:style w:type="paragraph" w:customStyle="1" w:styleId="TableBodyText">
    <w:name w:val="Table Body Text"/>
    <w:basedOn w:val="BodyText"/>
    <w:rsid w:val="004D7A70"/>
    <w:pPr>
      <w:spacing w:before="60" w:after="60"/>
    </w:pPr>
  </w:style>
  <w:style w:type="paragraph" w:styleId="ListContinue">
    <w:name w:val="List Continue"/>
    <w:basedOn w:val="List"/>
    <w:rsid w:val="004D7A70"/>
    <w:pPr>
      <w:ind w:firstLine="0"/>
    </w:pPr>
  </w:style>
  <w:style w:type="paragraph" w:customStyle="1" w:styleId="ListNote">
    <w:name w:val="List Note"/>
    <w:basedOn w:val="List"/>
    <w:rsid w:val="004D7A70"/>
    <w:pPr>
      <w:pBdr>
        <w:top w:val="single" w:sz="6" w:space="2" w:color="918585"/>
        <w:bottom w:val="single" w:sz="6" w:space="2" w:color="918585"/>
      </w:pBdr>
      <w:tabs>
        <w:tab w:val="left" w:pos="1021"/>
      </w:tabs>
      <w:ind w:firstLine="0"/>
    </w:pPr>
  </w:style>
  <w:style w:type="paragraph" w:customStyle="1" w:styleId="Warning">
    <w:name w:val="Warning"/>
    <w:basedOn w:val="BodyText"/>
    <w:rsid w:val="004D7A70"/>
    <w:pPr>
      <w:shd w:val="clear" w:color="auto" w:fill="D9D9D9"/>
      <w:tabs>
        <w:tab w:val="left" w:pos="992"/>
      </w:tabs>
      <w:ind w:left="119" w:right="119"/>
    </w:pPr>
    <w:rPr>
      <w:sz w:val="20"/>
    </w:rPr>
  </w:style>
  <w:style w:type="paragraph" w:customStyle="1" w:styleId="MarginIcons">
    <w:name w:val="Margin Icons"/>
    <w:basedOn w:val="BodyText"/>
    <w:rsid w:val="004D7A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D7A70"/>
    <w:rPr>
      <w:rFonts w:ascii="Courier New" w:hAnsi="Courier New"/>
    </w:rPr>
  </w:style>
  <w:style w:type="paragraph" w:customStyle="1" w:styleId="NoteBullet">
    <w:name w:val="Note Bullet"/>
    <w:basedOn w:val="Note"/>
    <w:rsid w:val="004D7A70"/>
    <w:pPr>
      <w:tabs>
        <w:tab w:val="clear" w:pos="680"/>
      </w:tabs>
      <w:spacing w:before="60" w:after="60"/>
    </w:pPr>
  </w:style>
  <w:style w:type="paragraph" w:customStyle="1" w:styleId="SubHeading2">
    <w:name w:val="SubHeading2"/>
    <w:basedOn w:val="HeadingBase"/>
    <w:rsid w:val="004D7A70"/>
    <w:pPr>
      <w:spacing w:before="240" w:after="60"/>
    </w:pPr>
    <w:rPr>
      <w:sz w:val="20"/>
    </w:rPr>
  </w:style>
  <w:style w:type="paragraph" w:customStyle="1" w:styleId="SubHeading1">
    <w:name w:val="SubHeading1"/>
    <w:basedOn w:val="HeadingBase"/>
    <w:rsid w:val="004D7A70"/>
    <w:pPr>
      <w:spacing w:before="240" w:after="60"/>
    </w:pPr>
    <w:rPr>
      <w:color w:val="918585"/>
      <w:sz w:val="22"/>
    </w:rPr>
  </w:style>
  <w:style w:type="paragraph" w:customStyle="1" w:styleId="SideHeading">
    <w:name w:val="Side Heading"/>
    <w:basedOn w:val="HeadingBase"/>
    <w:rsid w:val="004D7A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D7A70"/>
    <w:pPr>
      <w:numPr>
        <w:numId w:val="10"/>
      </w:numPr>
    </w:pPr>
  </w:style>
  <w:style w:type="paragraph" w:styleId="PlainText">
    <w:name w:val="Plain Text"/>
    <w:basedOn w:val="Normal"/>
    <w:link w:val="PlainTextChar"/>
    <w:rsid w:val="004D7A70"/>
    <w:rPr>
      <w:sz w:val="20"/>
    </w:rPr>
  </w:style>
  <w:style w:type="character" w:customStyle="1" w:styleId="PlainTextChar">
    <w:name w:val="Plain Text Char"/>
    <w:basedOn w:val="DefaultParagraphFont"/>
    <w:link w:val="PlainText"/>
    <w:rsid w:val="004D7A70"/>
    <w:rPr>
      <w:rFonts w:ascii="Courier New" w:eastAsia="Times New Roman" w:hAnsi="Courier New" w:cs="Times New Roman"/>
      <w:sz w:val="20"/>
      <w:szCs w:val="20"/>
      <w:lang w:eastAsia="en-US"/>
    </w:rPr>
  </w:style>
  <w:style w:type="character" w:customStyle="1" w:styleId="MenuOption">
    <w:name w:val="Menu Option"/>
    <w:basedOn w:val="DefaultParagraphFont"/>
    <w:rsid w:val="004D7A70"/>
    <w:rPr>
      <w:b/>
      <w:smallCaps/>
    </w:rPr>
  </w:style>
  <w:style w:type="paragraph" w:customStyle="1" w:styleId="TableListNumber">
    <w:name w:val="Table List Number"/>
    <w:basedOn w:val="ListNumber"/>
    <w:rsid w:val="004D7A70"/>
    <w:pPr>
      <w:numPr>
        <w:numId w:val="0"/>
      </w:numPr>
    </w:pPr>
  </w:style>
  <w:style w:type="paragraph" w:styleId="TOC4">
    <w:name w:val="toc 4"/>
    <w:basedOn w:val="TOCBase"/>
    <w:next w:val="Normal"/>
    <w:semiHidden/>
    <w:rsid w:val="004D7A70"/>
    <w:pPr>
      <w:tabs>
        <w:tab w:val="right" w:leader="dot" w:pos="9071"/>
      </w:tabs>
      <w:ind w:left="1701"/>
    </w:pPr>
  </w:style>
  <w:style w:type="paragraph" w:customStyle="1" w:styleId="ListAlpha">
    <w:name w:val="List Alpha"/>
    <w:basedOn w:val="List"/>
    <w:rsid w:val="004D7A70"/>
    <w:pPr>
      <w:numPr>
        <w:numId w:val="8"/>
      </w:numPr>
    </w:pPr>
  </w:style>
  <w:style w:type="paragraph" w:customStyle="1" w:styleId="ListAlpha2">
    <w:name w:val="List Alpha 2"/>
    <w:basedOn w:val="List2"/>
    <w:rsid w:val="004D7A70"/>
    <w:pPr>
      <w:numPr>
        <w:numId w:val="7"/>
      </w:numPr>
    </w:pPr>
  </w:style>
  <w:style w:type="paragraph" w:styleId="List2">
    <w:name w:val="List 2"/>
    <w:basedOn w:val="BodyText"/>
    <w:rsid w:val="004D7A70"/>
    <w:pPr>
      <w:tabs>
        <w:tab w:val="left" w:pos="680"/>
      </w:tabs>
      <w:spacing w:before="60" w:after="60"/>
      <w:ind w:left="680" w:hanging="340"/>
    </w:pPr>
  </w:style>
  <w:style w:type="paragraph" w:styleId="List3">
    <w:name w:val="List 3"/>
    <w:basedOn w:val="BodyText"/>
    <w:rsid w:val="004D7A70"/>
    <w:pPr>
      <w:tabs>
        <w:tab w:val="left" w:pos="1021"/>
      </w:tabs>
      <w:spacing w:before="60" w:after="60"/>
      <w:ind w:left="1020" w:hanging="340"/>
    </w:pPr>
  </w:style>
  <w:style w:type="paragraph" w:styleId="List4">
    <w:name w:val="List 4"/>
    <w:basedOn w:val="BodyText"/>
    <w:rsid w:val="004D7A70"/>
    <w:pPr>
      <w:tabs>
        <w:tab w:val="left" w:pos="1361"/>
      </w:tabs>
      <w:spacing w:before="60" w:after="60"/>
      <w:ind w:left="1361" w:hanging="340"/>
    </w:pPr>
  </w:style>
  <w:style w:type="paragraph" w:styleId="List5">
    <w:name w:val="List 5"/>
    <w:basedOn w:val="BodyText"/>
    <w:rsid w:val="004D7A70"/>
    <w:pPr>
      <w:tabs>
        <w:tab w:val="left" w:pos="1701"/>
      </w:tabs>
      <w:spacing w:before="60" w:after="60"/>
      <w:ind w:left="1701" w:hanging="340"/>
    </w:pPr>
  </w:style>
  <w:style w:type="paragraph" w:styleId="ListBullet3">
    <w:name w:val="List Bullet 3"/>
    <w:basedOn w:val="List3"/>
    <w:rsid w:val="004D7A70"/>
    <w:pPr>
      <w:numPr>
        <w:numId w:val="13"/>
      </w:numPr>
      <w:tabs>
        <w:tab w:val="clear" w:pos="1021"/>
      </w:tabs>
      <w:ind w:left="1037" w:hanging="357"/>
    </w:pPr>
  </w:style>
  <w:style w:type="paragraph" w:styleId="ListBullet4">
    <w:name w:val="List Bullet 4"/>
    <w:basedOn w:val="List4"/>
    <w:rsid w:val="004D7A70"/>
    <w:pPr>
      <w:numPr>
        <w:numId w:val="2"/>
      </w:numPr>
      <w:tabs>
        <w:tab w:val="clear" w:pos="1361"/>
      </w:tabs>
    </w:pPr>
  </w:style>
  <w:style w:type="paragraph" w:styleId="ListBullet5">
    <w:name w:val="List Bullet 5"/>
    <w:basedOn w:val="List5"/>
    <w:rsid w:val="004D7A70"/>
    <w:pPr>
      <w:numPr>
        <w:numId w:val="3"/>
      </w:numPr>
    </w:pPr>
  </w:style>
  <w:style w:type="paragraph" w:styleId="ListContinue2">
    <w:name w:val="List Continue 2"/>
    <w:basedOn w:val="List2"/>
    <w:rsid w:val="004D7A70"/>
    <w:pPr>
      <w:ind w:firstLine="0"/>
    </w:pPr>
  </w:style>
  <w:style w:type="paragraph" w:styleId="ListContinue3">
    <w:name w:val="List Continue 3"/>
    <w:basedOn w:val="List3"/>
    <w:rsid w:val="004D7A70"/>
    <w:pPr>
      <w:ind w:left="1021" w:firstLine="0"/>
    </w:pPr>
  </w:style>
  <w:style w:type="paragraph" w:styleId="ListContinue4">
    <w:name w:val="List Continue 4"/>
    <w:basedOn w:val="List4"/>
    <w:rsid w:val="004D7A70"/>
    <w:pPr>
      <w:ind w:firstLine="0"/>
    </w:pPr>
  </w:style>
  <w:style w:type="paragraph" w:styleId="ListContinue5">
    <w:name w:val="List Continue 5"/>
    <w:basedOn w:val="List5"/>
    <w:rsid w:val="004D7A70"/>
    <w:pPr>
      <w:ind w:firstLine="0"/>
    </w:pPr>
  </w:style>
  <w:style w:type="paragraph" w:styleId="ListNumber3">
    <w:name w:val="List Number 3"/>
    <w:basedOn w:val="List3"/>
    <w:rsid w:val="004D7A70"/>
    <w:pPr>
      <w:numPr>
        <w:numId w:val="4"/>
      </w:numPr>
    </w:pPr>
  </w:style>
  <w:style w:type="paragraph" w:styleId="ListNumber4">
    <w:name w:val="List Number 4"/>
    <w:basedOn w:val="List4"/>
    <w:rsid w:val="004D7A70"/>
    <w:pPr>
      <w:numPr>
        <w:numId w:val="5"/>
      </w:numPr>
    </w:pPr>
  </w:style>
  <w:style w:type="paragraph" w:styleId="ListNumber5">
    <w:name w:val="List Number 5"/>
    <w:basedOn w:val="List5"/>
    <w:rsid w:val="004D7A70"/>
    <w:pPr>
      <w:numPr>
        <w:numId w:val="6"/>
      </w:numPr>
    </w:pPr>
  </w:style>
  <w:style w:type="paragraph" w:styleId="BlockText">
    <w:name w:val="Block Text"/>
    <w:basedOn w:val="Normal"/>
    <w:rsid w:val="004D7A70"/>
    <w:pPr>
      <w:spacing w:after="120"/>
      <w:ind w:left="1440" w:right="1440"/>
    </w:pPr>
  </w:style>
  <w:style w:type="character" w:customStyle="1" w:styleId="Subscript">
    <w:name w:val="Subscript"/>
    <w:basedOn w:val="DefaultParagraphFont"/>
    <w:rsid w:val="004D7A70"/>
    <w:rPr>
      <w:sz w:val="16"/>
      <w:vertAlign w:val="subscript"/>
    </w:rPr>
  </w:style>
  <w:style w:type="character" w:customStyle="1" w:styleId="Superscript">
    <w:name w:val="Superscript"/>
    <w:basedOn w:val="DefaultParagraphFont"/>
    <w:rsid w:val="004D7A70"/>
    <w:rPr>
      <w:sz w:val="16"/>
      <w:vertAlign w:val="superscript"/>
    </w:rPr>
  </w:style>
  <w:style w:type="character" w:customStyle="1" w:styleId="Symbols">
    <w:name w:val="Symbols"/>
    <w:basedOn w:val="DefaultParagraphFont"/>
    <w:rsid w:val="004D7A70"/>
    <w:rPr>
      <w:rFonts w:ascii="Symbol" w:hAnsi="Symbol"/>
    </w:rPr>
  </w:style>
  <w:style w:type="character" w:customStyle="1" w:styleId="MenuOptions">
    <w:name w:val="Menu Options"/>
    <w:basedOn w:val="DefaultParagraphFont"/>
    <w:rsid w:val="004D7A70"/>
    <w:rPr>
      <w:rFonts w:ascii="Arial Narrow" w:hAnsi="Arial Narrow"/>
      <w:smallCaps/>
    </w:rPr>
  </w:style>
  <w:style w:type="character" w:customStyle="1" w:styleId="Buttons">
    <w:name w:val="Buttons"/>
    <w:basedOn w:val="DefaultParagraphFont"/>
    <w:rsid w:val="004D7A70"/>
    <w:rPr>
      <w:b/>
    </w:rPr>
  </w:style>
  <w:style w:type="character" w:customStyle="1" w:styleId="Underlined">
    <w:name w:val="Underlined"/>
    <w:basedOn w:val="DefaultParagraphFont"/>
    <w:rsid w:val="004D7A70"/>
    <w:rPr>
      <w:u w:val="single"/>
    </w:rPr>
  </w:style>
  <w:style w:type="paragraph" w:customStyle="1" w:styleId="TableBodyTextRight">
    <w:name w:val="Table Body Text Right"/>
    <w:basedOn w:val="TableBodyText"/>
    <w:rsid w:val="004D7A70"/>
    <w:pPr>
      <w:widowControl w:val="0"/>
      <w:autoSpaceDE w:val="0"/>
      <w:autoSpaceDN w:val="0"/>
      <w:adjustRightInd w:val="0"/>
      <w:jc w:val="right"/>
    </w:pPr>
    <w:rPr>
      <w:rFonts w:cs="Arial"/>
      <w:szCs w:val="18"/>
    </w:rPr>
  </w:style>
  <w:style w:type="paragraph" w:customStyle="1" w:styleId="CopyrightText">
    <w:name w:val="Copyright Text"/>
    <w:basedOn w:val="BodyText"/>
    <w:rsid w:val="004D7A70"/>
    <w:rPr>
      <w:sz w:val="18"/>
    </w:rPr>
  </w:style>
  <w:style w:type="paragraph" w:customStyle="1" w:styleId="BodySmallRight">
    <w:name w:val="Body Small Right"/>
    <w:basedOn w:val="BodyTextRight"/>
    <w:rsid w:val="004D7A70"/>
    <w:rPr>
      <w:sz w:val="18"/>
      <w:szCs w:val="18"/>
    </w:rPr>
  </w:style>
  <w:style w:type="paragraph" w:customStyle="1" w:styleId="MarginEdition">
    <w:name w:val="Margin Edition"/>
    <w:basedOn w:val="MarginNote"/>
    <w:rsid w:val="004D7A70"/>
    <w:pPr>
      <w:spacing w:before="0" w:after="0"/>
    </w:pPr>
    <w:rPr>
      <w:rFonts w:ascii="Times New Roman" w:hAnsi="Times New Roman"/>
      <w:color w:val="999999"/>
    </w:rPr>
  </w:style>
  <w:style w:type="paragraph" w:customStyle="1" w:styleId="Spacer">
    <w:name w:val="Spacer"/>
    <w:basedOn w:val="Normal"/>
    <w:rsid w:val="004D7A70"/>
    <w:rPr>
      <w:sz w:val="2"/>
      <w:szCs w:val="2"/>
    </w:rPr>
  </w:style>
  <w:style w:type="character" w:customStyle="1" w:styleId="Small">
    <w:name w:val="Small"/>
    <w:basedOn w:val="DefaultParagraphFont"/>
    <w:rsid w:val="004D7A70"/>
    <w:rPr>
      <w:sz w:val="16"/>
    </w:rPr>
  </w:style>
  <w:style w:type="paragraph" w:customStyle="1" w:styleId="WideTable">
    <w:name w:val="Wide Table"/>
    <w:basedOn w:val="Normal"/>
    <w:rsid w:val="004D7A70"/>
    <w:pPr>
      <w:ind w:left="-1418"/>
    </w:pPr>
    <w:rPr>
      <w:sz w:val="2"/>
      <w:szCs w:val="2"/>
    </w:rPr>
  </w:style>
  <w:style w:type="character" w:styleId="PageNumber">
    <w:name w:val="page number"/>
    <w:basedOn w:val="DefaultParagraphFont"/>
    <w:rsid w:val="004D7A70"/>
  </w:style>
  <w:style w:type="paragraph" w:styleId="Quote">
    <w:name w:val="Quote"/>
    <w:basedOn w:val="Heading1"/>
    <w:link w:val="QuoteChar"/>
    <w:qFormat/>
    <w:rsid w:val="004D7A70"/>
    <w:rPr>
      <w:b w:val="0"/>
      <w:sz w:val="72"/>
      <w:szCs w:val="72"/>
      <w:lang w:val="en-NZ"/>
    </w:rPr>
  </w:style>
  <w:style w:type="character" w:customStyle="1" w:styleId="QuoteChar">
    <w:name w:val="Quote Char"/>
    <w:basedOn w:val="DefaultParagraphFont"/>
    <w:link w:val="Quote"/>
    <w:rsid w:val="004D7A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D7A70"/>
    <w:pPr>
      <w:pageBreakBefore/>
    </w:pPr>
  </w:style>
  <w:style w:type="paragraph" w:customStyle="1" w:styleId="Border">
    <w:name w:val="Border"/>
    <w:basedOn w:val="Normal"/>
    <w:qFormat/>
    <w:rsid w:val="004D7A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D7A70"/>
    <w:rPr>
      <w:b/>
      <w:bCs/>
      <w:i/>
      <w:iCs/>
      <w:color w:val="auto"/>
    </w:rPr>
  </w:style>
  <w:style w:type="paragraph" w:styleId="IntenseQuote">
    <w:name w:val="Intense Quote"/>
    <w:basedOn w:val="Normal"/>
    <w:next w:val="Normal"/>
    <w:link w:val="IntenseQuoteChar"/>
    <w:uiPriority w:val="30"/>
    <w:qFormat/>
    <w:rsid w:val="004D7A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D7A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D7A70"/>
    <w:rPr>
      <w:smallCaps/>
      <w:color w:val="auto"/>
      <w:u w:val="single"/>
    </w:rPr>
  </w:style>
  <w:style w:type="character" w:styleId="IntenseReference">
    <w:name w:val="Intense Reference"/>
    <w:basedOn w:val="DefaultParagraphFont"/>
    <w:uiPriority w:val="32"/>
    <w:qFormat/>
    <w:rsid w:val="004D7A70"/>
    <w:rPr>
      <w:b/>
      <w:bCs/>
      <w:smallCaps/>
      <w:color w:val="auto"/>
      <w:spacing w:val="5"/>
      <w:u w:val="single"/>
    </w:rPr>
  </w:style>
  <w:style w:type="paragraph" w:customStyle="1" w:styleId="2ColumnHeading">
    <w:name w:val="2Column Heading"/>
    <w:basedOn w:val="BodyText"/>
    <w:qFormat/>
    <w:rsid w:val="004D7A70"/>
    <w:pPr>
      <w:spacing w:after="60"/>
      <w:ind w:left="-2268"/>
    </w:pPr>
    <w:rPr>
      <w:b/>
    </w:rPr>
  </w:style>
  <w:style w:type="paragraph" w:customStyle="1" w:styleId="Heading1TOC">
    <w:name w:val="Heading1 TOC"/>
    <w:basedOn w:val="Normal"/>
    <w:qFormat/>
    <w:rsid w:val="004D7A70"/>
    <w:pPr>
      <w:spacing w:before="240" w:after="120"/>
    </w:pPr>
    <w:rPr>
      <w:rFonts w:ascii="Times New Roman" w:hAnsi="Times New Roman"/>
      <w:b/>
      <w:sz w:val="32"/>
    </w:rPr>
  </w:style>
  <w:style w:type="paragraph" w:customStyle="1" w:styleId="Heading2TOC">
    <w:name w:val="Heading2 TOC"/>
    <w:basedOn w:val="Normal"/>
    <w:qFormat/>
    <w:rsid w:val="004D7A70"/>
    <w:pPr>
      <w:spacing w:before="240" w:after="60"/>
    </w:pPr>
    <w:rPr>
      <w:rFonts w:ascii="Times New Roman" w:hAnsi="Times New Roman"/>
      <w:b/>
      <w:sz w:val="28"/>
    </w:rPr>
  </w:style>
  <w:style w:type="character" w:customStyle="1" w:styleId="Underline">
    <w:name w:val="Underline"/>
    <w:basedOn w:val="DefaultParagraphFont"/>
    <w:qFormat/>
    <w:rsid w:val="004D7A70"/>
    <w:rPr>
      <w:u w:val="single"/>
    </w:rPr>
  </w:style>
  <w:style w:type="character" w:customStyle="1" w:styleId="BoldandItalics">
    <w:name w:val="Bold and Italics"/>
    <w:qFormat/>
    <w:rsid w:val="004D7A70"/>
    <w:rPr>
      <w:b/>
      <w:i/>
      <w:u w:val="none"/>
    </w:rPr>
  </w:style>
  <w:style w:type="paragraph" w:styleId="BalloonText">
    <w:name w:val="Balloon Text"/>
    <w:basedOn w:val="Normal"/>
    <w:link w:val="BalloonTextChar"/>
    <w:rsid w:val="004D7A70"/>
    <w:rPr>
      <w:rFonts w:ascii="Tahoma" w:hAnsi="Tahoma" w:cs="Tahoma"/>
      <w:sz w:val="16"/>
      <w:szCs w:val="16"/>
    </w:rPr>
  </w:style>
  <w:style w:type="character" w:customStyle="1" w:styleId="BalloonTextChar">
    <w:name w:val="Balloon Text Char"/>
    <w:basedOn w:val="DefaultParagraphFont"/>
    <w:link w:val="BalloonText"/>
    <w:rsid w:val="004D7A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D7A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4D7A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D7A70"/>
    <w:rPr>
      <w:b/>
      <w:color w:val="660033"/>
      <w:spacing w:val="0"/>
    </w:rPr>
  </w:style>
  <w:style w:type="paragraph" w:customStyle="1" w:styleId="Nameditemlist">
    <w:name w:val="Named item list"/>
    <w:basedOn w:val="BodyText"/>
    <w:qFormat/>
    <w:rsid w:val="004D7A70"/>
    <w:pPr>
      <w:tabs>
        <w:tab w:val="left" w:pos="2835"/>
      </w:tabs>
      <w:ind w:left="2835" w:hanging="2835"/>
    </w:pPr>
  </w:style>
  <w:style w:type="paragraph" w:customStyle="1" w:styleId="BodyTextnopadding">
    <w:name w:val="Body Text no padding"/>
    <w:basedOn w:val="BodyText"/>
    <w:qFormat/>
    <w:rsid w:val="004D7A70"/>
    <w:pPr>
      <w:spacing w:before="0" w:after="0"/>
    </w:pPr>
  </w:style>
  <w:style w:type="paragraph" w:customStyle="1" w:styleId="BodyTextBold">
    <w:name w:val="Body Text Bold"/>
    <w:basedOn w:val="BodyText"/>
    <w:qFormat/>
    <w:rsid w:val="004D7A70"/>
    <w:rPr>
      <w:b/>
    </w:rPr>
  </w:style>
  <w:style w:type="character" w:styleId="Hyperlink">
    <w:name w:val="Hyperlink"/>
    <w:basedOn w:val="DefaultParagraphFont"/>
    <w:uiPriority w:val="99"/>
    <w:unhideWhenUsed/>
    <w:rsid w:val="00C0781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819</Words>
  <Characters>5251</Characters>
  <Application>Microsoft Office Word</Application>
  <DocSecurity>0</DocSecurity>
  <Lines>238</Lines>
  <Paragraphs>126</Paragraphs>
  <ScaleCrop>false</ScaleCrop>
  <Company>Author-it Software Corporation Ltd.</Company>
  <LinksUpToDate>false</LinksUpToDate>
  <CharactersWithSpaces>5944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MSS405083 Adapt a proactive maintenance strategy for a seasonal or cyclical business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2022-04-05T05:03:00Z</dcterms:created>
  <dcterms:modified xsi:type="dcterms:W3CDTF">2022-04-05T05:03:00Z</dcterms:modified>
</cp:coreProperties>
</file>