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1507" w:rsidP="00571507">
      <w:pPr>
        <w:pStyle w:val="Title"/>
      </w:pPr>
      <w:r>
        <w:fldChar w:fldCharType="begin"/>
      </w:r>
      <w:r>
        <w:instrText xml:space="preserve"> TITLE   \* MERGEFORMAT </w:instrText>
      </w:r>
      <w:r>
        <w:fldChar w:fldCharType="separate"/>
      </w:r>
      <w:r>
        <w:t>MSS405081 Develop a proactive maintenance strategy</w:t>
      </w:r>
      <w:r>
        <w:fldChar w:fldCharType="end"/>
      </w:r>
    </w:p>
    <w:p w:rsidR="00571507" w:rsidP="00571507">
      <w:pPr>
        <w:pStyle w:val="Version"/>
        <w:sectPr w:rsidSect="00B2647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6477" w:rsidP="00B26477">
      <w:pPr>
        <w:pStyle w:val="SuperHeading"/>
      </w:pPr>
      <w:r w:rsidRPr="00B26477">
        <w:t>MSS405081 Develop a proactive maintenance strategy</w:t>
      </w:r>
    </w:p>
    <w:p w:rsidR="00000000" w:rsidRPr="00B26477" w:rsidP="00B26477">
      <w:pPr>
        <w:pStyle w:val="Heading1"/>
      </w:pPr>
      <w:bookmarkStart w:id="1" w:name="O_921556"/>
      <w:bookmarkEnd w:id="1"/>
      <w:r w:rsidRPr="00B26477">
        <w:t>Modification History</w:t>
      </w:r>
    </w:p>
    <w:p w:rsidR="00000000" w:rsidRPr="00B26477" w:rsidP="00571507">
      <w:pPr>
        <w:pStyle w:val="BodyText"/>
      </w:pPr>
      <w:r w:rsidRPr="00B26477">
        <w:t>Release 1. Supersedes and is equivalent to MSS405081A Develop a proactive maintenance strategy</w:t>
      </w:r>
    </w:p>
    <w:p w:rsidR="00000000" w:rsidRPr="00B26477" w:rsidP="00B26477">
      <w:pPr>
        <w:pStyle w:val="Heading1"/>
      </w:pPr>
      <w:bookmarkStart w:id="2" w:name="O_921564"/>
      <w:bookmarkEnd w:id="2"/>
      <w:r w:rsidRPr="00B26477">
        <w:t>Application</w:t>
      </w:r>
    </w:p>
    <w:p w:rsidR="00000000" w:rsidRPr="00B26477" w:rsidP="00571507">
      <w:pPr>
        <w:pStyle w:val="BodyText"/>
      </w:pPr>
      <w:r w:rsidRPr="00B26477">
        <w:t>This unit of competency covers the skills and knowledge required to develop and implement a proactive m</w:t>
      </w:r>
      <w:r w:rsidRPr="00B26477">
        <w:t>aintenance strategy for an organisation. The unit recognises that there are a number of predictive or proactive maintenance strategies, such as total productive maintenance (TPM) and reliability centred maintenance (RCM).</w:t>
      </w:r>
    </w:p>
    <w:p w:rsidR="00000000" w:rsidRPr="00B26477" w:rsidP="00571507">
      <w:pPr>
        <w:pStyle w:val="BodyText"/>
      </w:pPr>
      <w:r w:rsidRPr="00B26477">
        <w:t>This unit applies to an individua</w:t>
      </w:r>
      <w:r w:rsidRPr="00B26477">
        <w:t>l responsible for developing a proactive maintenance strategy for an organisation. Typically the organisation will also be implementing other competitive systems and practices. The unit applies to the selection of appropriate strategies, initial developmen</w:t>
      </w:r>
      <w:r w:rsidRPr="00B26477">
        <w:t>t and implementation as well as application of the strategies to new areas and the improvement of operation in existing areas. This would typically be done in a team environment and in consultation with all key stakeholders.</w:t>
      </w:r>
    </w:p>
    <w:p w:rsidR="00000000" w:rsidRPr="00B26477" w:rsidP="00571507">
      <w:pPr>
        <w:pStyle w:val="BodyText"/>
      </w:pPr>
      <w:r w:rsidRPr="00B26477">
        <w:t>This unit primarily requires t</w:t>
      </w:r>
      <w:r w:rsidRPr="00B26477">
        <w:t>he application of skills associated with communication in gathering, analysing and applying information and consulting with stakeholders. Teamwork, problem solving, initiative and enterprise, and planning and organising are required to develop and implemen</w:t>
      </w:r>
      <w:r w:rsidRPr="00B26477">
        <w:t>t a predictive maintenance strategy. Strategies will incorporate the maintenance requirements of relevant technologies. This unit also requires aspects of self-management and learning to ensure feedback and new learning is integrated into maintenance strat</w:t>
      </w:r>
      <w:r w:rsidRPr="00B26477">
        <w:t>egies.</w:t>
      </w:r>
    </w:p>
    <w:p w:rsidR="00000000" w:rsidRPr="00B26477" w:rsidP="00571507">
      <w:pPr>
        <w:pStyle w:val="BodyText"/>
      </w:pPr>
      <w:r w:rsidRPr="00B26477">
        <w:t>No licensing, legislative or certification requirements apply to this unit at the time of publication.</w:t>
      </w:r>
    </w:p>
    <w:p w:rsidR="00000000" w:rsidRPr="00B26477" w:rsidP="00B26477">
      <w:pPr>
        <w:pStyle w:val="Heading1"/>
      </w:pPr>
      <w:bookmarkStart w:id="3" w:name="O_921563"/>
      <w:bookmarkEnd w:id="3"/>
      <w:r w:rsidRPr="00B26477">
        <w:t>Pre-requisite Unit</w:t>
      </w:r>
    </w:p>
    <w:p w:rsidR="00000000" w:rsidRPr="00B26477" w:rsidP="00571507">
      <w:pPr>
        <w:pStyle w:val="BodyText"/>
      </w:pPr>
      <w:r w:rsidRPr="00B26477">
        <w:t>Nil</w:t>
      </w:r>
    </w:p>
    <w:p w:rsidR="00000000" w:rsidRPr="00B26477" w:rsidP="00B26477">
      <w:pPr>
        <w:pStyle w:val="Heading1"/>
      </w:pPr>
      <w:bookmarkStart w:id="4" w:name="O_921562"/>
      <w:bookmarkEnd w:id="4"/>
      <w:r w:rsidRPr="00B26477">
        <w:t>Competency Field</w:t>
      </w:r>
    </w:p>
    <w:p w:rsidR="00000000" w:rsidRPr="00B26477" w:rsidP="00571507">
      <w:pPr>
        <w:pStyle w:val="BodyText"/>
      </w:pPr>
      <w:r w:rsidRPr="00B26477">
        <w:t>Competitive systems and practices</w:t>
      </w:r>
    </w:p>
    <w:p w:rsidR="00000000" w:rsidRPr="00B26477" w:rsidP="00B26477">
      <w:pPr>
        <w:pStyle w:val="Heading1"/>
      </w:pPr>
      <w:bookmarkStart w:id="5" w:name="O_921561"/>
      <w:bookmarkEnd w:id="5"/>
      <w:r w:rsidRPr="00B26477">
        <w:t>Unit Sector</w:t>
      </w:r>
    </w:p>
    <w:p w:rsidR="00000000" w:rsidRPr="00B26477" w:rsidP="00571507">
      <w:pPr>
        <w:pStyle w:val="BodyText"/>
      </w:pPr>
      <w:r w:rsidRPr="00B26477">
        <w:t>Not appl</w:t>
      </w:r>
      <w:r w:rsidRPr="00B26477">
        <w:t>icable</w:t>
      </w:r>
    </w:p>
    <w:p w:rsidR="00000000" w:rsidRPr="00B26477" w:rsidP="00B26477">
      <w:pPr>
        <w:pStyle w:val="Heading1"/>
      </w:pPr>
      <w:bookmarkStart w:id="6" w:name="O_921560"/>
      <w:bookmarkEnd w:id="6"/>
      <w:r w:rsidRPr="00B2647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B26477">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B26477">
            <w:pPr>
              <w:pStyle w:val="BodyText"/>
              <w:rPr>
                <w:lang w:val="en-NZ"/>
              </w:rPr>
            </w:pPr>
            <w:r w:rsidRPr="00B26477">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26477">
            <w:pPr>
              <w:pStyle w:val="BodyText"/>
              <w:rPr>
                <w:lang w:val="en-NZ"/>
              </w:rPr>
            </w:pPr>
            <w:r w:rsidRPr="00B26477">
              <w:t>Performance criteria describe the performance needed to demonstrate achievement of the element.</w:t>
            </w:r>
          </w:p>
        </w:tc>
      </w:tr>
      <w:tr w:rsidTr="00B264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26477" w:rsidP="00B26477">
            <w:pPr>
              <w:pStyle w:val="BodyText"/>
            </w:pPr>
            <w:r w:rsidRPr="00B26477">
              <w:t>1</w:t>
            </w:r>
          </w:p>
        </w:tc>
        <w:tc>
          <w:tcPr>
            <w:tcW w:w="1962" w:type="dxa"/>
            <w:vMerge w:val="restart"/>
            <w:tcBorders>
              <w:top w:val="nil"/>
              <w:left w:val="nil"/>
              <w:bottom w:val="nil"/>
              <w:right w:val="nil"/>
            </w:tcBorders>
            <w:tcMar>
              <w:top w:w="0" w:type="dxa"/>
              <w:left w:w="62" w:type="dxa"/>
              <w:bottom w:w="0" w:type="dxa"/>
              <w:right w:w="62" w:type="dxa"/>
            </w:tcMar>
          </w:tcPr>
          <w:p w:rsidR="00000000" w:rsidP="00B26477">
            <w:pPr>
              <w:pStyle w:val="BodyText"/>
              <w:rPr>
                <w:lang w:val="en-NZ"/>
              </w:rPr>
            </w:pPr>
            <w:r w:rsidRPr="00B26477">
              <w:rPr>
                <w:rStyle w:val="SpecialBold"/>
              </w:rPr>
              <w:t>Determine appropriate analytical techniques</w:t>
            </w:r>
          </w:p>
        </w:tc>
        <w:tc>
          <w:tcPr>
            <w:tcW w:w="770" w:type="dxa"/>
            <w:tcBorders>
              <w:top w:val="nil"/>
              <w:left w:val="nil"/>
              <w:bottom w:val="nil"/>
              <w:right w:val="nil"/>
            </w:tcBorders>
            <w:tcMar>
              <w:top w:w="0" w:type="dxa"/>
              <w:left w:w="62" w:type="dxa"/>
              <w:bottom w:w="0" w:type="dxa"/>
              <w:right w:w="62" w:type="dxa"/>
            </w:tcMar>
          </w:tcPr>
          <w:p w:rsidR="00000000" w:rsidP="00B26477">
            <w:pPr>
              <w:pStyle w:val="BodyText"/>
              <w:rPr>
                <w:lang w:val="en-NZ"/>
              </w:rPr>
            </w:pPr>
            <w:r w:rsidRPr="00B26477">
              <w:t>1.1</w:t>
            </w:r>
          </w:p>
        </w:tc>
        <w:tc>
          <w:tcPr>
            <w:tcW w:w="5610" w:type="dxa"/>
            <w:tcBorders>
              <w:top w:val="nil"/>
              <w:left w:val="nil"/>
              <w:bottom w:val="nil"/>
              <w:right w:val="nil"/>
            </w:tcBorders>
            <w:tcMar>
              <w:top w:w="0" w:type="dxa"/>
              <w:left w:w="62" w:type="dxa"/>
              <w:bottom w:w="0" w:type="dxa"/>
              <w:right w:w="62" w:type="dxa"/>
            </w:tcMar>
          </w:tcPr>
          <w:p w:rsidR="00000000" w:rsidP="00B26477">
            <w:pPr>
              <w:pStyle w:val="BodyText"/>
              <w:rPr>
                <w:lang w:val="en-NZ"/>
              </w:rPr>
            </w:pPr>
            <w:r w:rsidRPr="00B26477">
              <w:t>Liaise with key stakeholders to determine objectives of maintenance strategy.</w:t>
            </w:r>
          </w:p>
        </w:tc>
      </w:tr>
      <w:tr w:rsidTr="00B264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6477">
            <w:pPr>
              <w:pStyle w:val="BodyText"/>
              <w:rPr>
                <w:lang w:val="en-NZ"/>
              </w:rPr>
            </w:pPr>
            <w:r w:rsidRPr="00B26477">
              <w:t>1.2</w:t>
            </w:r>
          </w:p>
        </w:tc>
        <w:tc>
          <w:tcPr>
            <w:tcW w:w="5610" w:type="dxa"/>
            <w:tcBorders>
              <w:top w:val="nil"/>
              <w:left w:val="nil"/>
              <w:bottom w:val="nil"/>
              <w:right w:val="nil"/>
            </w:tcBorders>
            <w:tcMar>
              <w:top w:w="0" w:type="dxa"/>
              <w:left w:w="62" w:type="dxa"/>
              <w:bottom w:w="0" w:type="dxa"/>
              <w:right w:w="62" w:type="dxa"/>
            </w:tcMar>
          </w:tcPr>
          <w:p w:rsidR="00000000" w:rsidP="00B26477">
            <w:pPr>
              <w:pStyle w:val="BodyText"/>
              <w:rPr>
                <w:lang w:val="en-NZ"/>
              </w:rPr>
            </w:pPr>
            <w:r w:rsidRPr="00B26477">
              <w:t>Examine current maintenance situation to determine major areas requiring improvement.</w:t>
            </w:r>
          </w:p>
        </w:tc>
      </w:tr>
      <w:tr w:rsidTr="00B264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6477">
            <w:pPr>
              <w:pStyle w:val="BodyText"/>
              <w:rPr>
                <w:lang w:val="en-NZ"/>
              </w:rPr>
            </w:pPr>
            <w:r w:rsidRPr="00B26477">
              <w:t>1.3</w:t>
            </w:r>
          </w:p>
        </w:tc>
        <w:tc>
          <w:tcPr>
            <w:tcW w:w="5610" w:type="dxa"/>
            <w:tcBorders>
              <w:top w:val="nil"/>
              <w:left w:val="nil"/>
              <w:bottom w:val="nil"/>
              <w:right w:val="nil"/>
            </w:tcBorders>
            <w:tcMar>
              <w:top w:w="0" w:type="dxa"/>
              <w:left w:w="62" w:type="dxa"/>
              <w:bottom w:w="0" w:type="dxa"/>
              <w:right w:w="62" w:type="dxa"/>
            </w:tcMar>
          </w:tcPr>
          <w:p w:rsidR="00000000" w:rsidP="00B26477">
            <w:pPr>
              <w:pStyle w:val="BodyText"/>
              <w:rPr>
                <w:lang w:val="en-NZ"/>
              </w:rPr>
            </w:pPr>
            <w:r w:rsidRPr="00B26477">
              <w:t>Compare possible strategies, techniques and tools against organisation needs.</w:t>
            </w:r>
          </w:p>
        </w:tc>
      </w:tr>
      <w:tr w:rsidTr="00B264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6477">
            <w:pPr>
              <w:pStyle w:val="BodyText"/>
              <w:rPr>
                <w:lang w:val="en-NZ"/>
              </w:rPr>
            </w:pPr>
            <w:r w:rsidRPr="00B26477">
              <w:t>1.4</w:t>
            </w:r>
          </w:p>
        </w:tc>
        <w:tc>
          <w:tcPr>
            <w:tcW w:w="5610" w:type="dxa"/>
            <w:tcBorders>
              <w:top w:val="nil"/>
              <w:left w:val="nil"/>
              <w:bottom w:val="nil"/>
              <w:right w:val="nil"/>
            </w:tcBorders>
            <w:tcMar>
              <w:top w:w="0" w:type="dxa"/>
              <w:left w:w="62" w:type="dxa"/>
              <w:bottom w:w="0" w:type="dxa"/>
              <w:right w:w="62" w:type="dxa"/>
            </w:tcMar>
          </w:tcPr>
          <w:p w:rsidR="00000000" w:rsidP="00B26477">
            <w:pPr>
              <w:pStyle w:val="BodyText"/>
              <w:rPr>
                <w:lang w:val="en-NZ"/>
              </w:rPr>
            </w:pPr>
            <w:r w:rsidRPr="00B26477">
              <w:t>Select possible strategies, techniques and tools.</w:t>
            </w:r>
          </w:p>
        </w:tc>
      </w:tr>
      <w:tr w:rsidTr="00B264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6477">
            <w:pPr>
              <w:pStyle w:val="BodyText"/>
              <w:rPr>
                <w:lang w:val="en-NZ"/>
              </w:rPr>
            </w:pPr>
            <w:r w:rsidRPr="00B26477">
              <w:t>1.5</w:t>
            </w:r>
          </w:p>
        </w:tc>
        <w:tc>
          <w:tcPr>
            <w:tcW w:w="5610" w:type="dxa"/>
            <w:tcBorders>
              <w:top w:val="nil"/>
              <w:left w:val="nil"/>
              <w:bottom w:val="nil"/>
              <w:right w:val="nil"/>
            </w:tcBorders>
            <w:tcMar>
              <w:top w:w="0" w:type="dxa"/>
              <w:left w:w="62" w:type="dxa"/>
              <w:bottom w:w="0" w:type="dxa"/>
              <w:right w:w="62" w:type="dxa"/>
            </w:tcMar>
          </w:tcPr>
          <w:p w:rsidR="00000000" w:rsidP="00B26477">
            <w:pPr>
              <w:pStyle w:val="BodyText"/>
              <w:rPr>
                <w:lang w:val="en-NZ"/>
              </w:rPr>
            </w:pPr>
            <w:r w:rsidRPr="00B26477">
              <w:t>Confirm selected strategies, techniques and tools with key stakeholders.</w:t>
            </w:r>
          </w:p>
        </w:tc>
      </w:tr>
      <w:tr w:rsidTr="00B2647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26477">
            <w:pPr>
              <w:pStyle w:val="BodyText"/>
              <w:rPr>
                <w:lang w:val="en-NZ"/>
              </w:rPr>
            </w:pPr>
          </w:p>
        </w:tc>
      </w:tr>
      <w:tr w:rsidTr="00B264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26477" w:rsidP="00B26477">
            <w:pPr>
              <w:pStyle w:val="BodyText"/>
            </w:pPr>
            <w:r w:rsidRPr="00B26477">
              <w:t>2</w:t>
            </w:r>
          </w:p>
        </w:tc>
        <w:tc>
          <w:tcPr>
            <w:tcW w:w="1962" w:type="dxa"/>
            <w:vMerge w:val="restart"/>
            <w:tcBorders>
              <w:top w:val="nil"/>
              <w:left w:val="nil"/>
              <w:bottom w:val="nil"/>
              <w:right w:val="nil"/>
            </w:tcBorders>
            <w:tcMar>
              <w:top w:w="0" w:type="dxa"/>
              <w:left w:w="62" w:type="dxa"/>
              <w:bottom w:w="0" w:type="dxa"/>
              <w:right w:w="62" w:type="dxa"/>
            </w:tcMar>
          </w:tcPr>
          <w:p w:rsidR="00000000" w:rsidP="00B26477">
            <w:pPr>
              <w:pStyle w:val="BodyText"/>
              <w:rPr>
                <w:lang w:val="en-NZ"/>
              </w:rPr>
            </w:pPr>
            <w:r w:rsidRPr="00B26477">
              <w:rPr>
                <w:rStyle w:val="SpecialBold"/>
              </w:rPr>
              <w:t>Develop reliability strategies</w:t>
            </w:r>
          </w:p>
        </w:tc>
        <w:tc>
          <w:tcPr>
            <w:tcW w:w="770" w:type="dxa"/>
            <w:tcBorders>
              <w:top w:val="nil"/>
              <w:left w:val="nil"/>
              <w:bottom w:val="nil"/>
              <w:right w:val="nil"/>
            </w:tcBorders>
            <w:tcMar>
              <w:top w:w="0" w:type="dxa"/>
              <w:left w:w="62" w:type="dxa"/>
              <w:bottom w:w="0" w:type="dxa"/>
              <w:right w:w="62" w:type="dxa"/>
            </w:tcMar>
          </w:tcPr>
          <w:p w:rsidR="00000000" w:rsidP="00B26477">
            <w:pPr>
              <w:pStyle w:val="BodyText"/>
              <w:rPr>
                <w:lang w:val="en-NZ"/>
              </w:rPr>
            </w:pPr>
            <w:r w:rsidRPr="00B26477">
              <w:t>2.1</w:t>
            </w:r>
          </w:p>
        </w:tc>
        <w:tc>
          <w:tcPr>
            <w:tcW w:w="5610" w:type="dxa"/>
            <w:tcBorders>
              <w:top w:val="nil"/>
              <w:left w:val="nil"/>
              <w:bottom w:val="nil"/>
              <w:right w:val="nil"/>
            </w:tcBorders>
            <w:tcMar>
              <w:top w:w="0" w:type="dxa"/>
              <w:left w:w="62" w:type="dxa"/>
              <w:bottom w:w="0" w:type="dxa"/>
              <w:right w:w="62" w:type="dxa"/>
            </w:tcMar>
          </w:tcPr>
          <w:p w:rsidR="00000000" w:rsidP="00B26477">
            <w:pPr>
              <w:pStyle w:val="BodyText"/>
              <w:rPr>
                <w:lang w:val="en-NZ"/>
              </w:rPr>
            </w:pPr>
            <w:r w:rsidRPr="00B26477">
              <w:t>Select preferred maintenance strategy.</w:t>
            </w:r>
          </w:p>
        </w:tc>
      </w:tr>
      <w:tr w:rsidTr="00B264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6477">
            <w:pPr>
              <w:pStyle w:val="BodyText"/>
              <w:rPr>
                <w:lang w:val="en-NZ"/>
              </w:rPr>
            </w:pPr>
            <w:r w:rsidRPr="00B26477">
              <w:t>2.2</w:t>
            </w:r>
          </w:p>
        </w:tc>
        <w:tc>
          <w:tcPr>
            <w:tcW w:w="5610" w:type="dxa"/>
            <w:tcBorders>
              <w:top w:val="nil"/>
              <w:left w:val="nil"/>
              <w:bottom w:val="nil"/>
              <w:right w:val="nil"/>
            </w:tcBorders>
            <w:tcMar>
              <w:top w:w="0" w:type="dxa"/>
              <w:left w:w="62" w:type="dxa"/>
              <w:bottom w:w="0" w:type="dxa"/>
              <w:right w:w="62" w:type="dxa"/>
            </w:tcMar>
          </w:tcPr>
          <w:p w:rsidR="00000000" w:rsidP="00B26477">
            <w:pPr>
              <w:pStyle w:val="BodyText"/>
              <w:rPr>
                <w:lang w:val="en-NZ"/>
              </w:rPr>
            </w:pPr>
            <w:r w:rsidRPr="00B26477">
              <w:t>Examine and adapt strategy to organisation needs and priorities.</w:t>
            </w:r>
          </w:p>
        </w:tc>
      </w:tr>
      <w:tr w:rsidTr="00B264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6477">
            <w:pPr>
              <w:pStyle w:val="BodyText"/>
              <w:rPr>
                <w:lang w:val="en-NZ"/>
              </w:rPr>
            </w:pPr>
            <w:r w:rsidRPr="00B26477">
              <w:t>2.3</w:t>
            </w:r>
          </w:p>
        </w:tc>
        <w:tc>
          <w:tcPr>
            <w:tcW w:w="5610" w:type="dxa"/>
            <w:tcBorders>
              <w:top w:val="nil"/>
              <w:left w:val="nil"/>
              <w:bottom w:val="nil"/>
              <w:right w:val="nil"/>
            </w:tcBorders>
            <w:tcMar>
              <w:top w:w="0" w:type="dxa"/>
              <w:left w:w="62" w:type="dxa"/>
              <w:bottom w:w="0" w:type="dxa"/>
              <w:right w:w="62" w:type="dxa"/>
            </w:tcMar>
          </w:tcPr>
          <w:p w:rsidR="00000000" w:rsidP="00B26477">
            <w:pPr>
              <w:pStyle w:val="BodyText"/>
              <w:rPr>
                <w:lang w:val="en-NZ"/>
              </w:rPr>
            </w:pPr>
            <w:r w:rsidRPr="00B26477">
              <w:t>Examine and adapt techniques and tools required to implement strategy.</w:t>
            </w:r>
          </w:p>
        </w:tc>
      </w:tr>
      <w:tr w:rsidTr="00B264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6477">
            <w:pPr>
              <w:pStyle w:val="BodyText"/>
              <w:rPr>
                <w:lang w:val="en-NZ"/>
              </w:rPr>
            </w:pPr>
            <w:r w:rsidRPr="00B26477">
              <w:t>2.4</w:t>
            </w:r>
          </w:p>
        </w:tc>
        <w:tc>
          <w:tcPr>
            <w:tcW w:w="5610" w:type="dxa"/>
            <w:tcBorders>
              <w:top w:val="nil"/>
              <w:left w:val="nil"/>
              <w:bottom w:val="nil"/>
              <w:right w:val="nil"/>
            </w:tcBorders>
            <w:tcMar>
              <w:top w:w="0" w:type="dxa"/>
              <w:left w:w="62" w:type="dxa"/>
              <w:bottom w:w="0" w:type="dxa"/>
              <w:right w:w="62" w:type="dxa"/>
            </w:tcMar>
          </w:tcPr>
          <w:p w:rsidR="00000000" w:rsidP="00B26477">
            <w:pPr>
              <w:pStyle w:val="BodyText"/>
              <w:rPr>
                <w:lang w:val="en-NZ"/>
              </w:rPr>
            </w:pPr>
            <w:r w:rsidRPr="00B26477">
              <w:t>Liaise with key stakeholders to develop an implementation plan.</w:t>
            </w:r>
          </w:p>
        </w:tc>
      </w:tr>
      <w:tr w:rsidTr="00B264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6477">
            <w:pPr>
              <w:pStyle w:val="BodyText"/>
              <w:rPr>
                <w:lang w:val="en-NZ"/>
              </w:rPr>
            </w:pPr>
            <w:r w:rsidRPr="00B26477">
              <w:t>2.5</w:t>
            </w:r>
          </w:p>
        </w:tc>
        <w:tc>
          <w:tcPr>
            <w:tcW w:w="5610" w:type="dxa"/>
            <w:tcBorders>
              <w:top w:val="nil"/>
              <w:left w:val="nil"/>
              <w:bottom w:val="nil"/>
              <w:right w:val="nil"/>
            </w:tcBorders>
            <w:tcMar>
              <w:top w:w="0" w:type="dxa"/>
              <w:left w:w="62" w:type="dxa"/>
              <w:bottom w:w="0" w:type="dxa"/>
              <w:right w:w="62" w:type="dxa"/>
            </w:tcMar>
          </w:tcPr>
          <w:p w:rsidR="00000000" w:rsidP="00B26477">
            <w:pPr>
              <w:pStyle w:val="BodyText"/>
              <w:rPr>
                <w:lang w:val="en-NZ"/>
              </w:rPr>
            </w:pPr>
            <w:r w:rsidRPr="00B26477">
              <w:t>Identify key information and performance indicators required.</w:t>
            </w:r>
          </w:p>
        </w:tc>
      </w:tr>
      <w:tr w:rsidTr="00B2647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26477">
            <w:pPr>
              <w:pStyle w:val="BodyText"/>
              <w:rPr>
                <w:lang w:val="en-NZ"/>
              </w:rPr>
            </w:pPr>
          </w:p>
        </w:tc>
      </w:tr>
      <w:tr w:rsidTr="00B264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26477" w:rsidP="00B26477">
            <w:pPr>
              <w:pStyle w:val="BodyText"/>
            </w:pPr>
            <w:r w:rsidRPr="00B26477">
              <w:t>3</w:t>
            </w:r>
          </w:p>
        </w:tc>
        <w:tc>
          <w:tcPr>
            <w:tcW w:w="1962" w:type="dxa"/>
            <w:vMerge w:val="restart"/>
            <w:tcBorders>
              <w:top w:val="nil"/>
              <w:left w:val="nil"/>
              <w:bottom w:val="nil"/>
              <w:right w:val="nil"/>
            </w:tcBorders>
            <w:tcMar>
              <w:top w:w="0" w:type="dxa"/>
              <w:left w:w="62" w:type="dxa"/>
              <w:bottom w:w="0" w:type="dxa"/>
              <w:right w:w="62" w:type="dxa"/>
            </w:tcMar>
          </w:tcPr>
          <w:p w:rsidR="00000000" w:rsidP="00B26477">
            <w:pPr>
              <w:pStyle w:val="BodyText"/>
              <w:rPr>
                <w:lang w:val="en-NZ"/>
              </w:rPr>
            </w:pPr>
            <w:r w:rsidRPr="00B26477">
              <w:rPr>
                <w:rStyle w:val="SpecialBold"/>
              </w:rPr>
              <w:t>Implement strategy</w:t>
            </w:r>
          </w:p>
        </w:tc>
        <w:tc>
          <w:tcPr>
            <w:tcW w:w="770" w:type="dxa"/>
            <w:tcBorders>
              <w:top w:val="nil"/>
              <w:left w:val="nil"/>
              <w:bottom w:val="nil"/>
              <w:right w:val="nil"/>
            </w:tcBorders>
            <w:tcMar>
              <w:top w:w="0" w:type="dxa"/>
              <w:left w:w="62" w:type="dxa"/>
              <w:bottom w:w="0" w:type="dxa"/>
              <w:right w:w="62" w:type="dxa"/>
            </w:tcMar>
          </w:tcPr>
          <w:p w:rsidR="00000000" w:rsidP="00B26477">
            <w:pPr>
              <w:pStyle w:val="BodyText"/>
              <w:rPr>
                <w:lang w:val="en-NZ"/>
              </w:rPr>
            </w:pPr>
            <w:r w:rsidRPr="00B26477">
              <w:t>3.1</w:t>
            </w:r>
          </w:p>
        </w:tc>
        <w:tc>
          <w:tcPr>
            <w:tcW w:w="5610" w:type="dxa"/>
            <w:tcBorders>
              <w:top w:val="nil"/>
              <w:left w:val="nil"/>
              <w:bottom w:val="nil"/>
              <w:right w:val="nil"/>
            </w:tcBorders>
            <w:tcMar>
              <w:top w:w="0" w:type="dxa"/>
              <w:left w:w="62" w:type="dxa"/>
              <w:bottom w:w="0" w:type="dxa"/>
              <w:right w:w="62" w:type="dxa"/>
            </w:tcMar>
          </w:tcPr>
          <w:p w:rsidR="00000000" w:rsidP="00B26477">
            <w:pPr>
              <w:pStyle w:val="BodyText"/>
              <w:rPr>
                <w:lang w:val="en-NZ"/>
              </w:rPr>
            </w:pPr>
            <w:r w:rsidRPr="00B26477">
              <w:t>Identify data collection required.</w:t>
            </w:r>
          </w:p>
        </w:tc>
      </w:tr>
      <w:tr w:rsidTr="00B264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6477">
            <w:pPr>
              <w:pStyle w:val="BodyText"/>
              <w:rPr>
                <w:lang w:val="en-NZ"/>
              </w:rPr>
            </w:pPr>
            <w:r w:rsidRPr="00B26477">
              <w:t>3.2</w:t>
            </w:r>
          </w:p>
        </w:tc>
        <w:tc>
          <w:tcPr>
            <w:tcW w:w="5610" w:type="dxa"/>
            <w:tcBorders>
              <w:top w:val="nil"/>
              <w:left w:val="nil"/>
              <w:bottom w:val="nil"/>
              <w:right w:val="nil"/>
            </w:tcBorders>
            <w:tcMar>
              <w:top w:w="0" w:type="dxa"/>
              <w:left w:w="62" w:type="dxa"/>
              <w:bottom w:w="0" w:type="dxa"/>
              <w:right w:w="62" w:type="dxa"/>
            </w:tcMar>
          </w:tcPr>
          <w:p w:rsidR="00000000" w:rsidP="00B26477">
            <w:pPr>
              <w:pStyle w:val="BodyText"/>
              <w:rPr>
                <w:lang w:val="en-NZ"/>
              </w:rPr>
            </w:pPr>
            <w:r w:rsidRPr="00B26477">
              <w:t>Identify hardware and other resources required.</w:t>
            </w:r>
          </w:p>
        </w:tc>
      </w:tr>
      <w:tr w:rsidTr="00B264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6477">
            <w:pPr>
              <w:pStyle w:val="BodyText"/>
              <w:rPr>
                <w:lang w:val="en-NZ"/>
              </w:rPr>
            </w:pPr>
            <w:r w:rsidRPr="00B26477">
              <w:t>3.3</w:t>
            </w:r>
          </w:p>
        </w:tc>
        <w:tc>
          <w:tcPr>
            <w:tcW w:w="5610" w:type="dxa"/>
            <w:tcBorders>
              <w:top w:val="nil"/>
              <w:left w:val="nil"/>
              <w:bottom w:val="nil"/>
              <w:right w:val="nil"/>
            </w:tcBorders>
            <w:tcMar>
              <w:top w:w="0" w:type="dxa"/>
              <w:left w:w="62" w:type="dxa"/>
              <w:bottom w:w="0" w:type="dxa"/>
              <w:right w:w="62" w:type="dxa"/>
            </w:tcMar>
          </w:tcPr>
          <w:p w:rsidR="00000000" w:rsidP="00B26477">
            <w:pPr>
              <w:pStyle w:val="BodyText"/>
              <w:rPr>
                <w:lang w:val="en-NZ"/>
              </w:rPr>
            </w:pPr>
            <w:r w:rsidRPr="00B26477">
              <w:t>Identify skill needs required in consultation with key stakeholders.</w:t>
            </w:r>
          </w:p>
        </w:tc>
      </w:tr>
      <w:tr w:rsidTr="00B264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6477">
            <w:pPr>
              <w:pStyle w:val="BodyText"/>
              <w:rPr>
                <w:lang w:val="en-NZ"/>
              </w:rPr>
            </w:pPr>
            <w:r w:rsidRPr="00B26477">
              <w:t>3.4</w:t>
            </w:r>
          </w:p>
        </w:tc>
        <w:tc>
          <w:tcPr>
            <w:tcW w:w="5610" w:type="dxa"/>
            <w:tcBorders>
              <w:top w:val="nil"/>
              <w:left w:val="nil"/>
              <w:bottom w:val="nil"/>
              <w:right w:val="nil"/>
            </w:tcBorders>
            <w:tcMar>
              <w:top w:w="0" w:type="dxa"/>
              <w:left w:w="62" w:type="dxa"/>
              <w:bottom w:w="0" w:type="dxa"/>
              <w:right w:w="62" w:type="dxa"/>
            </w:tcMar>
          </w:tcPr>
          <w:p w:rsidR="00000000" w:rsidP="00B26477">
            <w:pPr>
              <w:pStyle w:val="BodyText"/>
              <w:rPr>
                <w:lang w:val="en-NZ"/>
              </w:rPr>
            </w:pPr>
            <w:r w:rsidRPr="00B26477">
              <w:t>Ensure all resources/training are available.</w:t>
            </w:r>
          </w:p>
        </w:tc>
      </w:tr>
      <w:tr w:rsidTr="00B264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6477">
            <w:pPr>
              <w:pStyle w:val="BodyText"/>
              <w:rPr>
                <w:lang w:val="en-NZ"/>
              </w:rPr>
            </w:pPr>
            <w:r w:rsidRPr="00B26477">
              <w:t>3.5</w:t>
            </w:r>
          </w:p>
        </w:tc>
        <w:tc>
          <w:tcPr>
            <w:tcW w:w="5610" w:type="dxa"/>
            <w:tcBorders>
              <w:top w:val="nil"/>
              <w:left w:val="nil"/>
              <w:bottom w:val="nil"/>
              <w:right w:val="nil"/>
            </w:tcBorders>
            <w:tcMar>
              <w:top w:w="0" w:type="dxa"/>
              <w:left w:w="62" w:type="dxa"/>
              <w:bottom w:w="0" w:type="dxa"/>
              <w:right w:w="62" w:type="dxa"/>
            </w:tcMar>
          </w:tcPr>
          <w:p w:rsidR="00000000" w:rsidP="00B26477">
            <w:pPr>
              <w:pStyle w:val="BodyText"/>
              <w:rPr>
                <w:lang w:val="en-NZ"/>
              </w:rPr>
            </w:pPr>
            <w:r w:rsidRPr="00B26477">
              <w:t>Implement strategy.</w:t>
            </w:r>
          </w:p>
        </w:tc>
      </w:tr>
      <w:tr w:rsidTr="00B2647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26477">
            <w:pPr>
              <w:pStyle w:val="BodyText"/>
              <w:rPr>
                <w:lang w:val="en-NZ"/>
              </w:rPr>
            </w:pPr>
          </w:p>
        </w:tc>
      </w:tr>
      <w:tr w:rsidTr="00B264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26477" w:rsidP="00B26477">
            <w:pPr>
              <w:pStyle w:val="BodyText"/>
            </w:pPr>
            <w:r w:rsidRPr="00B26477">
              <w:t>4</w:t>
            </w:r>
          </w:p>
        </w:tc>
        <w:tc>
          <w:tcPr>
            <w:tcW w:w="1962" w:type="dxa"/>
            <w:vMerge w:val="restart"/>
            <w:tcBorders>
              <w:top w:val="nil"/>
              <w:left w:val="nil"/>
              <w:bottom w:val="nil"/>
              <w:right w:val="nil"/>
            </w:tcBorders>
            <w:tcMar>
              <w:top w:w="0" w:type="dxa"/>
              <w:left w:w="62" w:type="dxa"/>
              <w:bottom w:w="0" w:type="dxa"/>
              <w:right w:w="62" w:type="dxa"/>
            </w:tcMar>
          </w:tcPr>
          <w:p w:rsidR="00000000" w:rsidP="00B26477">
            <w:pPr>
              <w:pStyle w:val="BodyText"/>
              <w:rPr>
                <w:lang w:val="en-NZ"/>
              </w:rPr>
            </w:pPr>
            <w:r w:rsidRPr="00B26477">
              <w:rPr>
                <w:rStyle w:val="SpecialBold"/>
              </w:rPr>
              <w:t>Monitor implementation of strategy</w:t>
            </w:r>
          </w:p>
        </w:tc>
        <w:tc>
          <w:tcPr>
            <w:tcW w:w="770" w:type="dxa"/>
            <w:tcBorders>
              <w:top w:val="nil"/>
              <w:left w:val="nil"/>
              <w:bottom w:val="nil"/>
              <w:right w:val="nil"/>
            </w:tcBorders>
            <w:tcMar>
              <w:top w:w="0" w:type="dxa"/>
              <w:left w:w="62" w:type="dxa"/>
              <w:bottom w:w="0" w:type="dxa"/>
              <w:right w:w="62" w:type="dxa"/>
            </w:tcMar>
          </w:tcPr>
          <w:p w:rsidR="00000000" w:rsidP="00B26477">
            <w:pPr>
              <w:pStyle w:val="BodyText"/>
              <w:rPr>
                <w:lang w:val="en-NZ"/>
              </w:rPr>
            </w:pPr>
            <w:r w:rsidRPr="00B26477">
              <w:t>4.1</w:t>
            </w:r>
          </w:p>
        </w:tc>
        <w:tc>
          <w:tcPr>
            <w:tcW w:w="5610" w:type="dxa"/>
            <w:tcBorders>
              <w:top w:val="nil"/>
              <w:left w:val="nil"/>
              <w:bottom w:val="nil"/>
              <w:right w:val="nil"/>
            </w:tcBorders>
            <w:tcMar>
              <w:top w:w="0" w:type="dxa"/>
              <w:left w:w="62" w:type="dxa"/>
              <w:bottom w:w="0" w:type="dxa"/>
              <w:right w:w="62" w:type="dxa"/>
            </w:tcMar>
          </w:tcPr>
          <w:p w:rsidR="00000000" w:rsidP="00B26477">
            <w:pPr>
              <w:pStyle w:val="BodyText"/>
              <w:rPr>
                <w:lang w:val="en-NZ"/>
              </w:rPr>
            </w:pPr>
            <w:r w:rsidRPr="00B26477">
              <w:t>Compare information/performance indicators with desired levels.</w:t>
            </w:r>
          </w:p>
        </w:tc>
      </w:tr>
      <w:tr w:rsidTr="00B264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6477">
            <w:pPr>
              <w:pStyle w:val="BodyText"/>
              <w:rPr>
                <w:lang w:val="en-NZ"/>
              </w:rPr>
            </w:pPr>
            <w:r w:rsidRPr="00B26477">
              <w:t>4.2</w:t>
            </w:r>
          </w:p>
        </w:tc>
        <w:tc>
          <w:tcPr>
            <w:tcW w:w="5610" w:type="dxa"/>
            <w:tcBorders>
              <w:top w:val="nil"/>
              <w:left w:val="nil"/>
              <w:bottom w:val="nil"/>
              <w:right w:val="nil"/>
            </w:tcBorders>
            <w:tcMar>
              <w:top w:w="0" w:type="dxa"/>
              <w:left w:w="62" w:type="dxa"/>
              <w:bottom w:w="0" w:type="dxa"/>
              <w:right w:w="62" w:type="dxa"/>
            </w:tcMar>
          </w:tcPr>
          <w:p w:rsidR="00000000" w:rsidP="00B26477">
            <w:pPr>
              <w:pStyle w:val="BodyText"/>
              <w:rPr>
                <w:lang w:val="en-NZ"/>
              </w:rPr>
            </w:pPr>
            <w:r w:rsidRPr="00B26477">
              <w:t>Liaise with key stakeholders regarding strategy issues.</w:t>
            </w:r>
          </w:p>
        </w:tc>
      </w:tr>
      <w:tr w:rsidTr="00B264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6477">
            <w:pPr>
              <w:pStyle w:val="BodyText"/>
              <w:rPr>
                <w:lang w:val="en-NZ"/>
              </w:rPr>
            </w:pPr>
            <w:r w:rsidRPr="00B26477">
              <w:t>4.3</w:t>
            </w:r>
          </w:p>
        </w:tc>
        <w:tc>
          <w:tcPr>
            <w:tcW w:w="5610" w:type="dxa"/>
            <w:tcBorders>
              <w:top w:val="nil"/>
              <w:left w:val="nil"/>
              <w:bottom w:val="nil"/>
              <w:right w:val="nil"/>
            </w:tcBorders>
            <w:tcMar>
              <w:top w:w="0" w:type="dxa"/>
              <w:left w:w="62" w:type="dxa"/>
              <w:bottom w:w="0" w:type="dxa"/>
              <w:right w:w="62" w:type="dxa"/>
            </w:tcMar>
          </w:tcPr>
          <w:p w:rsidR="00000000" w:rsidP="00B26477">
            <w:pPr>
              <w:pStyle w:val="BodyText"/>
              <w:rPr>
                <w:lang w:val="en-NZ"/>
              </w:rPr>
            </w:pPr>
            <w:r w:rsidRPr="00B26477">
              <w:t>Identify areas requiring adjustment.</w:t>
            </w:r>
          </w:p>
        </w:tc>
      </w:tr>
      <w:tr w:rsidTr="00B2647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6477">
            <w:pPr>
              <w:pStyle w:val="BodyText"/>
              <w:rPr>
                <w:lang w:val="en-NZ"/>
              </w:rPr>
            </w:pPr>
            <w:r w:rsidRPr="00B26477">
              <w:t>4.4</w:t>
            </w:r>
          </w:p>
        </w:tc>
        <w:tc>
          <w:tcPr>
            <w:tcW w:w="5610" w:type="dxa"/>
            <w:tcBorders>
              <w:top w:val="nil"/>
              <w:left w:val="nil"/>
              <w:bottom w:val="nil"/>
              <w:right w:val="nil"/>
            </w:tcBorders>
            <w:tcMar>
              <w:top w:w="0" w:type="dxa"/>
              <w:left w:w="62" w:type="dxa"/>
              <w:bottom w:w="0" w:type="dxa"/>
              <w:right w:w="62" w:type="dxa"/>
            </w:tcMar>
          </w:tcPr>
          <w:p w:rsidR="00000000" w:rsidRPr="00B26477" w:rsidP="00B26477">
            <w:pPr>
              <w:pStyle w:val="BodyText"/>
            </w:pPr>
            <w:r w:rsidRPr="00B26477">
              <w:t>Make required adjustments.</w:t>
            </w:r>
          </w:p>
        </w:tc>
      </w:tr>
    </w:tbl>
    <w:p w:rsidR="00000000" w:rsidRPr="00B26477" w:rsidP="00B26477">
      <w:pPr>
        <w:pStyle w:val="BodyText"/>
      </w:pPr>
    </w:p>
    <w:p w:rsidR="00000000" w:rsidRPr="00B26477" w:rsidP="00B26477">
      <w:pPr>
        <w:pStyle w:val="AllowPageBreak"/>
      </w:pPr>
    </w:p>
    <w:p w:rsidR="00000000" w:rsidRPr="00B26477" w:rsidP="00B26477">
      <w:pPr>
        <w:pStyle w:val="Heading1"/>
      </w:pPr>
      <w:bookmarkStart w:id="7" w:name="O_921559"/>
      <w:bookmarkEnd w:id="7"/>
      <w:r w:rsidRPr="00B26477">
        <w:t>Foundation Skills</w:t>
      </w:r>
    </w:p>
    <w:p w:rsidR="00000000" w:rsidRPr="00B26477" w:rsidP="00571507">
      <w:pPr>
        <w:pStyle w:val="BodyText"/>
      </w:pPr>
      <w:r w:rsidRPr="00B26477">
        <w:t>This section describes those required skills (language, literacy and numeracy) that are essential to performance.</w:t>
      </w:r>
    </w:p>
    <w:p w:rsidR="00000000" w:rsidRPr="00B26477" w:rsidP="00571507">
      <w:pPr>
        <w:pStyle w:val="BodyText"/>
      </w:pPr>
      <w:r w:rsidRPr="00B26477">
        <w:t>Foundation skills essential to performance are explicit in the performance criteria of this unit of competency.</w:t>
      </w:r>
    </w:p>
    <w:p w:rsidR="00000000" w:rsidRPr="00B26477" w:rsidP="00B26477">
      <w:pPr>
        <w:pStyle w:val="Heading1"/>
      </w:pPr>
      <w:bookmarkStart w:id="8" w:name="O_921558"/>
      <w:bookmarkEnd w:id="8"/>
      <w:r w:rsidRPr="00B26477">
        <w:t>Range of Con</w:t>
      </w:r>
      <w:r w:rsidRPr="00B26477">
        <w:t>ditions</w:t>
      </w:r>
    </w:p>
    <w:tbl>
      <w:tblPr>
        <w:tblW w:w="0" w:type="auto"/>
        <w:tblLayout w:type="fixed"/>
        <w:tblCellMar>
          <w:left w:w="62" w:type="dxa"/>
          <w:right w:w="62" w:type="dxa"/>
        </w:tblCellMar>
        <w:tblLook w:val="0000"/>
      </w:tblPr>
      <w:tblGrid>
        <w:gridCol w:w="2252"/>
        <w:gridCol w:w="6820"/>
      </w:tblGrid>
      <w:tr w:rsidTr="00B2647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26477">
            <w:pPr>
              <w:pStyle w:val="BodyText"/>
              <w:rPr>
                <w:lang w:val="en-NZ"/>
              </w:rPr>
            </w:pPr>
            <w:r w:rsidRPr="00B26477">
              <w:t>This field allows for different work environments and conditions that may affect performance. Essential operating conditions that may be present (depending on the work situation, needs of the candidate, accessibility of the item, and local industry</w:t>
            </w:r>
            <w:r w:rsidRPr="00B26477">
              <w:t xml:space="preserve"> and regional contexts) are included.</w:t>
            </w:r>
          </w:p>
        </w:tc>
      </w:tr>
      <w:tr w:rsidTr="00B26477">
        <w:tblPrEx>
          <w:tblW w:w="0" w:type="auto"/>
          <w:tblLayout w:type="fixed"/>
          <w:tblCellMar>
            <w:left w:w="62" w:type="dxa"/>
            <w:right w:w="62" w:type="dxa"/>
          </w:tblCellMar>
          <w:tblLook w:val="0000"/>
        </w:tblPrEx>
        <w:tc>
          <w:tcPr>
            <w:tcW w:w="2252" w:type="dxa"/>
            <w:tcBorders>
              <w:top w:val="nil"/>
              <w:left w:val="nil"/>
              <w:bottom w:val="nil"/>
              <w:right w:val="nil"/>
            </w:tcBorders>
            <w:tcMar>
              <w:top w:w="0" w:type="dxa"/>
              <w:left w:w="62" w:type="dxa"/>
              <w:bottom w:w="0" w:type="dxa"/>
              <w:right w:w="62" w:type="dxa"/>
            </w:tcMar>
          </w:tcPr>
          <w:p w:rsidR="00000000" w:rsidP="00B26477">
            <w:pPr>
              <w:pStyle w:val="BodyText"/>
              <w:rPr>
                <w:lang w:val="en-NZ"/>
              </w:rPr>
            </w:pPr>
            <w:r w:rsidRPr="00B26477">
              <w:rPr>
                <w:rStyle w:val="SpecialBold"/>
              </w:rPr>
              <w:t>Competitive systems and practices include one or more of:</w:t>
            </w:r>
          </w:p>
        </w:tc>
        <w:tc>
          <w:tcPr>
            <w:tcW w:w="6820" w:type="dxa"/>
            <w:tcBorders>
              <w:top w:val="nil"/>
              <w:left w:val="nil"/>
              <w:bottom w:val="nil"/>
              <w:right w:val="nil"/>
            </w:tcBorders>
            <w:tcMar>
              <w:top w:w="0" w:type="dxa"/>
              <w:left w:w="62" w:type="dxa"/>
              <w:bottom w:w="0" w:type="dxa"/>
              <w:right w:w="62" w:type="dxa"/>
            </w:tcMar>
          </w:tcPr>
          <w:p w:rsidR="00000000" w:rsidRPr="00B26477" w:rsidP="00B26477">
            <w:pPr>
              <w:pStyle w:val="ListBullet"/>
            </w:pPr>
            <w:r w:rsidRPr="00B26477">
              <w:t>lean operations</w:t>
            </w:r>
          </w:p>
          <w:p w:rsidR="00000000" w:rsidRPr="00B26477" w:rsidP="00B26477">
            <w:pPr>
              <w:pStyle w:val="ListBullet"/>
            </w:pPr>
            <w:r w:rsidRPr="00B26477">
              <w:t>agile operations</w:t>
            </w:r>
          </w:p>
          <w:p w:rsidR="00000000" w:rsidRPr="00B26477" w:rsidP="00B26477">
            <w:pPr>
              <w:pStyle w:val="ListBullet"/>
            </w:pPr>
            <w:r w:rsidRPr="00B26477">
              <w:t>preventative and predictive maintenance approaches</w:t>
            </w:r>
          </w:p>
          <w:p w:rsidR="00000000" w:rsidRPr="00B26477" w:rsidP="00B26477">
            <w:pPr>
              <w:pStyle w:val="ListBullet"/>
            </w:pPr>
            <w:r w:rsidRPr="00B26477">
              <w:t>statistical process control systems, including six sigma and three sigma</w:t>
            </w:r>
          </w:p>
          <w:p w:rsidR="00000000" w:rsidRPr="00B26477" w:rsidP="00B26477">
            <w:pPr>
              <w:pStyle w:val="ListBullet"/>
            </w:pPr>
            <w:r w:rsidRPr="00B26477">
              <w:t>Just in Time (JIT), kanban and other pull-related operations control systems</w:t>
            </w:r>
          </w:p>
          <w:p w:rsidR="00000000" w:rsidRPr="00B26477" w:rsidP="00B26477">
            <w:pPr>
              <w:pStyle w:val="ListBullet"/>
            </w:pPr>
            <w:r w:rsidRPr="00B26477">
              <w:t>supply, value, and demand chain monitoring and analysis</w:t>
            </w:r>
          </w:p>
          <w:p w:rsidR="00000000" w:rsidRPr="00B26477" w:rsidP="00B26477">
            <w:pPr>
              <w:pStyle w:val="ListBullet"/>
            </w:pPr>
            <w:r w:rsidRPr="00B26477">
              <w:t xml:space="preserve">5S </w:t>
            </w:r>
          </w:p>
          <w:p w:rsidR="00000000" w:rsidRPr="00B26477" w:rsidP="00B26477">
            <w:pPr>
              <w:pStyle w:val="ListBullet"/>
            </w:pPr>
            <w:r w:rsidRPr="00B26477">
              <w:t>continuous improvement (kaizen)</w:t>
            </w:r>
          </w:p>
          <w:p w:rsidR="00000000" w:rsidRPr="00B26477" w:rsidP="00B26477">
            <w:pPr>
              <w:pStyle w:val="ListBullet"/>
            </w:pPr>
            <w:r w:rsidRPr="00B26477">
              <w:t>breakthrough improvement (kaizen blitz)</w:t>
            </w:r>
          </w:p>
          <w:p w:rsidR="00000000" w:rsidRPr="00B26477" w:rsidP="00B26477">
            <w:pPr>
              <w:pStyle w:val="ListBullet"/>
            </w:pPr>
            <w:r w:rsidRPr="00B26477">
              <w:t>cause/effect diagrams</w:t>
            </w:r>
          </w:p>
          <w:p w:rsidR="00000000" w:rsidRPr="00B26477" w:rsidP="00B26477">
            <w:pPr>
              <w:pStyle w:val="ListBullet"/>
            </w:pPr>
            <w:r w:rsidRPr="00B26477">
              <w:t>overall equipment effecti</w:t>
            </w:r>
            <w:r w:rsidRPr="00B26477">
              <w:t>veness (OEE)</w:t>
            </w:r>
          </w:p>
          <w:p w:rsidR="00000000" w:rsidRPr="00B26477" w:rsidP="00B26477">
            <w:pPr>
              <w:pStyle w:val="ListBullet"/>
            </w:pPr>
            <w:r w:rsidRPr="00B26477">
              <w:t>takt time</w:t>
            </w:r>
          </w:p>
          <w:p w:rsidR="00000000" w:rsidRPr="00B26477" w:rsidP="00B26477">
            <w:pPr>
              <w:pStyle w:val="ListBullet"/>
            </w:pPr>
            <w:r w:rsidRPr="00B26477">
              <w:t>process mapping</w:t>
            </w:r>
          </w:p>
          <w:p w:rsidR="00000000" w:rsidRPr="00B26477" w:rsidP="00B26477">
            <w:pPr>
              <w:pStyle w:val="ListBullet"/>
            </w:pPr>
            <w:r w:rsidRPr="00B26477">
              <w:t xml:space="preserve">problem solving </w:t>
            </w:r>
          </w:p>
          <w:p w:rsidR="00000000" w:rsidRPr="00B26477" w:rsidP="00B26477">
            <w:pPr>
              <w:pStyle w:val="ListBullet"/>
            </w:pPr>
            <w:r w:rsidRPr="00B26477">
              <w:t>run charts</w:t>
            </w:r>
          </w:p>
          <w:p w:rsidR="00000000" w:rsidRPr="00B26477" w:rsidP="00B26477">
            <w:pPr>
              <w:pStyle w:val="ListBullet"/>
            </w:pPr>
            <w:r w:rsidRPr="00B26477">
              <w:t>standard procedures</w:t>
            </w:r>
          </w:p>
          <w:p w:rsidR="00000000" w:rsidRPr="00B26477" w:rsidP="00B26477">
            <w:pPr>
              <w:pStyle w:val="ListBullet"/>
            </w:pPr>
            <w:r w:rsidRPr="00B26477">
              <w:t>current reality tree.</w:t>
            </w:r>
          </w:p>
          <w:p w:rsidR="00000000" w:rsidP="00B26477">
            <w:pPr>
              <w:pStyle w:val="BodyText"/>
              <w:rPr>
                <w:lang w:val="en-NZ"/>
              </w:rPr>
            </w:pPr>
          </w:p>
        </w:tc>
      </w:tr>
      <w:tr w:rsidTr="00B26477">
        <w:tblPrEx>
          <w:tblW w:w="0" w:type="auto"/>
          <w:tblLayout w:type="fixed"/>
          <w:tblCellMar>
            <w:left w:w="62" w:type="dxa"/>
            <w:right w:w="62" w:type="dxa"/>
          </w:tblCellMar>
          <w:tblLook w:val="0000"/>
        </w:tblPrEx>
        <w:tc>
          <w:tcPr>
            <w:tcW w:w="2252" w:type="dxa"/>
            <w:tcBorders>
              <w:top w:val="nil"/>
              <w:left w:val="nil"/>
              <w:bottom w:val="nil"/>
              <w:right w:val="nil"/>
            </w:tcBorders>
            <w:tcMar>
              <w:top w:w="0" w:type="dxa"/>
              <w:left w:w="62" w:type="dxa"/>
              <w:bottom w:w="0" w:type="dxa"/>
              <w:right w:w="62" w:type="dxa"/>
            </w:tcMar>
          </w:tcPr>
          <w:p w:rsidR="00000000" w:rsidP="00B26477">
            <w:pPr>
              <w:pStyle w:val="BodyText"/>
              <w:rPr>
                <w:lang w:val="en-NZ"/>
              </w:rPr>
            </w:pPr>
            <w:r w:rsidRPr="00B26477">
              <w:rPr>
                <w:rStyle w:val="SpecialBold"/>
              </w:rPr>
              <w:t>OEE includes:</w:t>
            </w:r>
          </w:p>
        </w:tc>
        <w:tc>
          <w:tcPr>
            <w:tcW w:w="6820" w:type="dxa"/>
            <w:tcBorders>
              <w:top w:val="nil"/>
              <w:left w:val="nil"/>
              <w:bottom w:val="nil"/>
              <w:right w:val="nil"/>
            </w:tcBorders>
            <w:tcMar>
              <w:top w:w="0" w:type="dxa"/>
              <w:left w:w="62" w:type="dxa"/>
              <w:bottom w:w="0" w:type="dxa"/>
              <w:right w:w="62" w:type="dxa"/>
            </w:tcMar>
          </w:tcPr>
          <w:p w:rsidR="00000000" w:rsidRPr="00B26477" w:rsidP="00B26477">
            <w:pPr>
              <w:pStyle w:val="BodyText"/>
            </w:pPr>
            <w:r w:rsidRPr="00B26477">
              <w:t>The combination of the main factors causing loss of productive capacity from equipment/plant and is:</w:t>
            </w:r>
          </w:p>
          <w:p w:rsidR="00000000" w:rsidRPr="00B26477" w:rsidP="00B26477">
            <w:pPr>
              <w:pStyle w:val="ListBullet"/>
            </w:pPr>
            <w:r w:rsidRPr="00B26477">
              <w:t>OEE = availability x performance x quality rate</w:t>
            </w:r>
          </w:p>
          <w:p w:rsidR="00000000" w:rsidRPr="00B26477" w:rsidP="00B26477">
            <w:pPr>
              <w:pStyle w:val="BodyText"/>
            </w:pPr>
            <w:r w:rsidRPr="00B26477">
              <w:t>where:</w:t>
            </w:r>
          </w:p>
          <w:p w:rsidR="00000000" w:rsidRPr="00B26477" w:rsidP="00B26477">
            <w:pPr>
              <w:pStyle w:val="ListBullet"/>
            </w:pPr>
            <w:r w:rsidRPr="00B26477">
              <w:t>availability takes into account losses due to breakdown, set-up and adjustments</w:t>
            </w:r>
          </w:p>
          <w:p w:rsidR="00000000" w:rsidRPr="00B26477" w:rsidP="00B26477">
            <w:pPr>
              <w:pStyle w:val="ListBullet"/>
            </w:pPr>
            <w:r w:rsidRPr="00B26477">
              <w:t>performance takes into account losses due to minor stoppages, reduced speed and idling</w:t>
            </w:r>
          </w:p>
          <w:p w:rsidR="00000000" w:rsidRPr="00B26477" w:rsidP="00B26477">
            <w:pPr>
              <w:pStyle w:val="ListBullet"/>
            </w:pPr>
            <w:r w:rsidRPr="00B26477">
              <w:t>quality rate takes into account l</w:t>
            </w:r>
            <w:r w:rsidRPr="00B26477">
              <w:t>osses due to rejects, reworks and start-up waste.</w:t>
            </w:r>
          </w:p>
          <w:p w:rsidR="00000000" w:rsidP="00B26477">
            <w:pPr>
              <w:pStyle w:val="BodyText"/>
              <w:rPr>
                <w:lang w:val="en-NZ"/>
              </w:rPr>
            </w:pPr>
          </w:p>
        </w:tc>
      </w:tr>
      <w:tr w:rsidTr="00B26477">
        <w:tblPrEx>
          <w:tblW w:w="0" w:type="auto"/>
          <w:tblLayout w:type="fixed"/>
          <w:tblCellMar>
            <w:left w:w="62" w:type="dxa"/>
            <w:right w:w="62" w:type="dxa"/>
          </w:tblCellMar>
          <w:tblLook w:val="0000"/>
        </w:tblPrEx>
        <w:tc>
          <w:tcPr>
            <w:tcW w:w="2252" w:type="dxa"/>
            <w:tcBorders>
              <w:top w:val="nil"/>
              <w:left w:val="nil"/>
              <w:bottom w:val="nil"/>
              <w:right w:val="nil"/>
            </w:tcBorders>
            <w:tcMar>
              <w:top w:w="0" w:type="dxa"/>
              <w:left w:w="62" w:type="dxa"/>
              <w:bottom w:w="0" w:type="dxa"/>
              <w:right w:w="62" w:type="dxa"/>
            </w:tcMar>
          </w:tcPr>
          <w:p w:rsidR="00000000" w:rsidP="00B26477">
            <w:pPr>
              <w:pStyle w:val="BodyText"/>
              <w:rPr>
                <w:lang w:val="en-NZ"/>
              </w:rPr>
            </w:pPr>
            <w:r w:rsidRPr="00B26477">
              <w:rPr>
                <w:rStyle w:val="SpecialBold"/>
              </w:rPr>
              <w:t>Mean time between failure (MTBF) includes:</w:t>
            </w:r>
          </w:p>
        </w:tc>
        <w:tc>
          <w:tcPr>
            <w:tcW w:w="6820" w:type="dxa"/>
            <w:tcBorders>
              <w:top w:val="nil"/>
              <w:left w:val="nil"/>
              <w:bottom w:val="nil"/>
              <w:right w:val="nil"/>
            </w:tcBorders>
            <w:tcMar>
              <w:top w:w="0" w:type="dxa"/>
              <w:left w:w="62" w:type="dxa"/>
              <w:bottom w:w="0" w:type="dxa"/>
              <w:right w:w="62" w:type="dxa"/>
            </w:tcMar>
          </w:tcPr>
          <w:p w:rsidR="00000000" w:rsidRPr="00B26477" w:rsidP="00B26477">
            <w:pPr>
              <w:pStyle w:val="BodyText"/>
            </w:pPr>
            <w:r w:rsidRPr="00B26477">
              <w:t>One key measure of the effectiveness of a maintenance procedure, and is an indicator as to whether root causes are being found and resolved. If MTBF is reducing,</w:t>
            </w:r>
            <w:r w:rsidRPr="00B26477">
              <w:t xml:space="preserve"> then it is an indicator that the maintenance regime is failing.</w:t>
            </w:r>
          </w:p>
          <w:p w:rsidR="00000000" w:rsidRPr="00B26477" w:rsidP="00B26477">
            <w:pPr>
              <w:pStyle w:val="BodyText"/>
            </w:pPr>
          </w:p>
          <w:p w:rsidR="00000000" w:rsidRPr="00B26477" w:rsidP="00B26477">
            <w:pPr>
              <w:pStyle w:val="BodyText"/>
            </w:pPr>
            <w:r w:rsidRPr="00B26477">
              <w:t xml:space="preserve">There are many possible causes of any problem. Eliminating some will have no impact, others will ameliorate </w:t>
            </w:r>
            <w:r w:rsidRPr="00B26477">
              <w:t xml:space="preserve">the problem. However, elimination of the root cause will eliminate the problem. There should only be one root cause for any problem and so the analysis should continue until this one cause is found. Elimination of the root cause permanently eliminates the </w:t>
            </w:r>
            <w:r w:rsidRPr="00B26477">
              <w:t>problem.</w:t>
            </w:r>
          </w:p>
          <w:p w:rsidR="00000000" w:rsidRPr="00B26477" w:rsidP="00B26477">
            <w:pPr>
              <w:pStyle w:val="BodyText"/>
            </w:pPr>
          </w:p>
          <w:p w:rsidR="00000000" w:rsidRPr="00B26477" w:rsidP="00B26477">
            <w:pPr>
              <w:pStyle w:val="BodyText"/>
            </w:pPr>
            <w:r w:rsidRPr="00B26477">
              <w:t>Depending on the equipment, operations and procedures of the organisation, alternative statistical records of maintenance and maintenance-related events may be substituted for MTBF providing they relate strategies for improving OEE.</w:t>
            </w:r>
          </w:p>
          <w:p w:rsidR="00000000" w:rsidP="00B26477">
            <w:pPr>
              <w:pStyle w:val="BodyText"/>
              <w:rPr>
                <w:lang w:val="en-NZ"/>
              </w:rPr>
            </w:pPr>
          </w:p>
        </w:tc>
      </w:tr>
      <w:tr w:rsidTr="00B26477">
        <w:tblPrEx>
          <w:tblW w:w="0" w:type="auto"/>
          <w:tblLayout w:type="fixed"/>
          <w:tblCellMar>
            <w:left w:w="62" w:type="dxa"/>
            <w:right w:w="62" w:type="dxa"/>
          </w:tblCellMar>
          <w:tblLook w:val="0000"/>
        </w:tblPrEx>
        <w:tc>
          <w:tcPr>
            <w:tcW w:w="2252" w:type="dxa"/>
            <w:tcBorders>
              <w:top w:val="nil"/>
              <w:left w:val="nil"/>
              <w:bottom w:val="nil"/>
              <w:right w:val="nil"/>
            </w:tcBorders>
            <w:tcMar>
              <w:top w:w="0" w:type="dxa"/>
              <w:left w:w="62" w:type="dxa"/>
              <w:bottom w:w="0" w:type="dxa"/>
              <w:right w:w="62" w:type="dxa"/>
            </w:tcMar>
          </w:tcPr>
          <w:p w:rsidR="00000000" w:rsidP="00B26477">
            <w:pPr>
              <w:pStyle w:val="BodyText"/>
              <w:rPr>
                <w:lang w:val="en-NZ"/>
              </w:rPr>
            </w:pPr>
            <w:r w:rsidRPr="00B26477">
              <w:rPr>
                <w:rStyle w:val="SpecialBold"/>
              </w:rPr>
              <w:t>Failure mod</w:t>
            </w:r>
            <w:r w:rsidRPr="00B26477">
              <w:rPr>
                <w:rStyle w:val="SpecialBold"/>
              </w:rPr>
              <w:t>e effects analysis (FMEA) includes:</w:t>
            </w:r>
          </w:p>
        </w:tc>
        <w:tc>
          <w:tcPr>
            <w:tcW w:w="6820" w:type="dxa"/>
            <w:tcBorders>
              <w:top w:val="nil"/>
              <w:left w:val="nil"/>
              <w:bottom w:val="nil"/>
              <w:right w:val="nil"/>
            </w:tcBorders>
            <w:tcMar>
              <w:top w:w="0" w:type="dxa"/>
              <w:left w:w="62" w:type="dxa"/>
              <w:bottom w:w="0" w:type="dxa"/>
              <w:right w:w="62" w:type="dxa"/>
            </w:tcMar>
          </w:tcPr>
          <w:p w:rsidR="00000000" w:rsidRPr="00B26477" w:rsidP="00B26477">
            <w:pPr>
              <w:pStyle w:val="BodyText"/>
            </w:pPr>
            <w:r w:rsidRPr="00B26477">
              <w:t>A systematic approach that identifies potential failure modes in a system, product, or operations/assembly operation caused by either design or operations/assembly process deficiencies. It also identifies critical or sig</w:t>
            </w:r>
            <w:r w:rsidRPr="00B26477">
              <w:t>nificant design or process characteristics that require special controls to prevent or detect failure modes. FMEA is a tool used to prevent problems from occurring.</w:t>
            </w:r>
          </w:p>
          <w:p w:rsidR="00000000" w:rsidRPr="00B26477" w:rsidP="00B26477">
            <w:pPr>
              <w:pStyle w:val="BodyText"/>
            </w:pPr>
          </w:p>
          <w:p w:rsidR="00000000" w:rsidRPr="00B26477" w:rsidP="00B26477">
            <w:pPr>
              <w:pStyle w:val="BodyText"/>
            </w:pPr>
            <w:r w:rsidRPr="00B26477">
              <w:t xml:space="preserve">Some industry sectors have highly adapted forms of FMEA and may practice traditional FMEA </w:t>
            </w:r>
            <w:r w:rsidRPr="00B26477">
              <w:t xml:space="preserve">in say their routine maintenance while using another technique, such as Hazard and Operability Studies (HAZOP) for design and modification. </w:t>
            </w:r>
          </w:p>
          <w:p w:rsidR="00000000" w:rsidRPr="00B26477" w:rsidP="00B26477">
            <w:pPr>
              <w:pStyle w:val="BodyText"/>
            </w:pPr>
          </w:p>
          <w:p w:rsidR="00000000" w:rsidRPr="00B26477" w:rsidP="00B26477">
            <w:pPr>
              <w:pStyle w:val="BodyText"/>
            </w:pPr>
            <w:r w:rsidRPr="00B26477">
              <w:t>HAZOP is a form of FMEA which has been practiced by the process industries for over 30 years and examines the impl</w:t>
            </w:r>
            <w:r w:rsidRPr="00B26477">
              <w:t>ications of changes in process conditions to process stability.</w:t>
            </w:r>
          </w:p>
          <w:p w:rsidR="00000000" w:rsidP="00B26477">
            <w:pPr>
              <w:pStyle w:val="BodyText"/>
              <w:rPr>
                <w:lang w:val="en-NZ"/>
              </w:rPr>
            </w:pPr>
          </w:p>
        </w:tc>
      </w:tr>
      <w:tr w:rsidTr="00B26477">
        <w:tblPrEx>
          <w:tblW w:w="0" w:type="auto"/>
          <w:tblLayout w:type="fixed"/>
          <w:tblCellMar>
            <w:left w:w="62" w:type="dxa"/>
            <w:right w:w="62" w:type="dxa"/>
          </w:tblCellMar>
          <w:tblLook w:val="0000"/>
        </w:tblPrEx>
        <w:tc>
          <w:tcPr>
            <w:tcW w:w="2252" w:type="dxa"/>
            <w:tcBorders>
              <w:top w:val="nil"/>
              <w:left w:val="nil"/>
              <w:bottom w:val="nil"/>
              <w:right w:val="nil"/>
            </w:tcBorders>
            <w:tcMar>
              <w:top w:w="0" w:type="dxa"/>
              <w:left w:w="62" w:type="dxa"/>
              <w:bottom w:w="0" w:type="dxa"/>
              <w:right w:w="62" w:type="dxa"/>
            </w:tcMar>
          </w:tcPr>
          <w:p w:rsidR="00000000" w:rsidP="00B26477">
            <w:pPr>
              <w:pStyle w:val="BodyText"/>
              <w:rPr>
                <w:lang w:val="en-NZ"/>
              </w:rPr>
            </w:pPr>
            <w:r w:rsidRPr="00B26477">
              <w:rPr>
                <w:rStyle w:val="SpecialBold"/>
              </w:rPr>
              <w:t>Condition monitoring includes:</w:t>
            </w:r>
          </w:p>
        </w:tc>
        <w:tc>
          <w:tcPr>
            <w:tcW w:w="6820" w:type="dxa"/>
            <w:tcBorders>
              <w:top w:val="nil"/>
              <w:left w:val="nil"/>
              <w:bottom w:val="nil"/>
              <w:right w:val="nil"/>
            </w:tcBorders>
            <w:tcMar>
              <w:top w:w="0" w:type="dxa"/>
              <w:left w:w="62" w:type="dxa"/>
              <w:bottom w:w="0" w:type="dxa"/>
              <w:right w:w="62" w:type="dxa"/>
            </w:tcMar>
          </w:tcPr>
          <w:p w:rsidR="00000000" w:rsidRPr="00B26477" w:rsidP="00B26477">
            <w:pPr>
              <w:pStyle w:val="BodyText"/>
            </w:pPr>
            <w:r w:rsidRPr="00B26477">
              <w:t>The process of analysing the implications of condition monitoring data for proactive maintenance whether it be obtained from non-destructive testing (NDT) repo</w:t>
            </w:r>
            <w:r w:rsidRPr="00B26477">
              <w:t>rts, visual assessment by experts, diagnostic reports obtained from SCADA or other enterprise or equipment software and product or process quality analyses. It does not require the actual undertaking of the NDT or condition monitoring assessment or test. I</w:t>
            </w:r>
            <w:r w:rsidRPr="00B26477">
              <w:t>f this is required appropriate units from other Training Packages will be required.</w:t>
            </w:r>
          </w:p>
          <w:p w:rsidR="00000000" w:rsidRPr="00B26477" w:rsidP="00B26477">
            <w:pPr>
              <w:pStyle w:val="BodyText"/>
            </w:pPr>
          </w:p>
        </w:tc>
      </w:tr>
    </w:tbl>
    <w:p w:rsidR="00000000" w:rsidRPr="00B26477" w:rsidP="00B26477">
      <w:pPr>
        <w:pStyle w:val="BodyText"/>
      </w:pPr>
    </w:p>
    <w:p w:rsidR="00000000" w:rsidRPr="00B26477" w:rsidP="00B26477">
      <w:pPr>
        <w:pStyle w:val="AllowPageBreak"/>
      </w:pPr>
    </w:p>
    <w:p w:rsidR="00000000" w:rsidRPr="00B26477" w:rsidP="00B26477">
      <w:pPr>
        <w:pStyle w:val="Heading1"/>
      </w:pPr>
      <w:bookmarkStart w:id="9" w:name="O_921557"/>
      <w:bookmarkEnd w:id="9"/>
      <w:r w:rsidRPr="00B26477">
        <w:t>Unit Mapping Information</w:t>
      </w:r>
    </w:p>
    <w:p w:rsidR="00000000" w:rsidRPr="00B26477" w:rsidP="00571507">
      <w:pPr>
        <w:pStyle w:val="BodyText"/>
      </w:pPr>
      <w:r w:rsidRPr="00B26477">
        <w:t>Release 1. Supersedes and is equivalent to MSS405081A Develop a proactive maintenance strategy</w:t>
      </w:r>
    </w:p>
    <w:p w:rsidR="00000000" w:rsidRPr="00B26477" w:rsidP="00B26477">
      <w:pPr>
        <w:pStyle w:val="Heading1"/>
      </w:pPr>
      <w:bookmarkStart w:id="10" w:name="O_921550"/>
      <w:bookmarkEnd w:id="10"/>
      <w:r w:rsidRPr="00B26477">
        <w:t>Links</w:t>
      </w:r>
    </w:p>
    <w:p w:rsidR="00000000" w:rsidRPr="00B26477" w:rsidP="00571507">
      <w:pPr>
        <w:pStyle w:val="BodyText"/>
      </w:pPr>
      <w:r w:rsidRPr="00B26477">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E876D2">
        <w:rPr>
          <w:rStyle w:val="Hyperlink"/>
        </w:rPr>
        <w:t>https://vetnet.gov.au/Pages/TrainingDocs.aspx?q=5b04f318-804f-4dc0-9463-c3fb9a3fe998</w:t>
      </w:r>
      <w:r>
        <w:fldChar w:fldCharType="end"/>
      </w:r>
    </w:p>
    <w:p w:rsidR="00000000" w:rsidRPr="00B26477" w:rsidP="00B26477"/>
    <w:sectPr w:rsidSect="00B2647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4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477" w:rsidRPr="00571507" w:rsidP="005715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4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507" w:rsidP="00B264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71507" w:rsidP="00B26477">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71507" w:rsidP="00B2647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4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50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26477" w:rsidRPr="00571507" w:rsidP="0057150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4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507" w:rsidRPr="002D2AF8" w:rsidP="00B26477">
    <w:pPr>
      <w:pStyle w:val="Header"/>
      <w:framePr w:wrap="around"/>
    </w:pPr>
    <w:r>
      <w:fldChar w:fldCharType="begin"/>
    </w:r>
    <w:r>
      <w:instrText xml:space="preserve"> TITLE   \* MERGEFORMAT </w:instrText>
    </w:r>
    <w:r>
      <w:fldChar w:fldCharType="separate"/>
    </w:r>
    <w:r>
      <w:t>MSS405081 Develop a proactive maintenance strategy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571507" w:rsidP="00B2647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CF44F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114155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647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6477"/>
    <w:pPr>
      <w:spacing w:before="360" w:after="60"/>
      <w:outlineLvl w:val="0"/>
    </w:pPr>
    <w:rPr>
      <w:sz w:val="32"/>
    </w:rPr>
  </w:style>
  <w:style w:type="paragraph" w:styleId="Heading2">
    <w:name w:val="heading 2"/>
    <w:basedOn w:val="HeadingBase"/>
    <w:next w:val="BodyText"/>
    <w:link w:val="Heading2Char"/>
    <w:qFormat/>
    <w:rsid w:val="00B26477"/>
    <w:pPr>
      <w:keepLines/>
      <w:spacing w:before="240" w:after="120"/>
      <w:outlineLvl w:val="1"/>
    </w:pPr>
    <w:rPr>
      <w:sz w:val="28"/>
      <w:szCs w:val="40"/>
    </w:rPr>
  </w:style>
  <w:style w:type="paragraph" w:styleId="Heading3">
    <w:name w:val="heading 3"/>
    <w:basedOn w:val="HeadingBase"/>
    <w:next w:val="BodyText"/>
    <w:link w:val="Heading3Char"/>
    <w:qFormat/>
    <w:rsid w:val="00B26477"/>
    <w:pPr>
      <w:spacing w:before="180" w:after="120"/>
      <w:outlineLvl w:val="2"/>
    </w:pPr>
    <w:rPr>
      <w:spacing w:val="-10"/>
      <w:kern w:val="32"/>
    </w:rPr>
  </w:style>
  <w:style w:type="paragraph" w:styleId="Heading4">
    <w:name w:val="heading 4"/>
    <w:basedOn w:val="HeadingBase"/>
    <w:next w:val="BodyText"/>
    <w:link w:val="Heading4Char"/>
    <w:qFormat/>
    <w:rsid w:val="00B26477"/>
    <w:pPr>
      <w:spacing w:before="160" w:after="120"/>
      <w:outlineLvl w:val="3"/>
    </w:pPr>
    <w:rPr>
      <w:sz w:val="22"/>
    </w:rPr>
  </w:style>
  <w:style w:type="paragraph" w:styleId="Heading5">
    <w:name w:val="heading 5"/>
    <w:basedOn w:val="HeadingBase"/>
    <w:next w:val="Normal"/>
    <w:link w:val="Heading5Char"/>
    <w:qFormat/>
    <w:rsid w:val="00B26477"/>
    <w:pPr>
      <w:spacing w:before="80"/>
      <w:outlineLvl w:val="4"/>
    </w:pPr>
    <w:rPr>
      <w:color w:val="918585"/>
      <w:sz w:val="20"/>
    </w:rPr>
  </w:style>
  <w:style w:type="paragraph" w:styleId="Heading6">
    <w:name w:val="heading 6"/>
    <w:basedOn w:val="HeadingBase"/>
    <w:next w:val="Normal"/>
    <w:link w:val="Heading6Char"/>
    <w:qFormat/>
    <w:rsid w:val="00B26477"/>
    <w:pPr>
      <w:spacing w:before="60"/>
      <w:outlineLvl w:val="5"/>
    </w:pPr>
    <w:rPr>
      <w:color w:val="918585"/>
      <w:sz w:val="20"/>
    </w:rPr>
  </w:style>
  <w:style w:type="paragraph" w:styleId="Heading7">
    <w:name w:val="heading 7"/>
    <w:basedOn w:val="Normal"/>
    <w:next w:val="Normal"/>
    <w:link w:val="Heading7Char"/>
    <w:qFormat/>
    <w:rsid w:val="00B26477"/>
    <w:pPr>
      <w:ind w:left="720"/>
      <w:outlineLvl w:val="6"/>
    </w:pPr>
    <w:rPr>
      <w:i/>
    </w:rPr>
  </w:style>
  <w:style w:type="paragraph" w:styleId="Heading8">
    <w:name w:val="heading 8"/>
    <w:basedOn w:val="Normal"/>
    <w:next w:val="Normal"/>
    <w:link w:val="Heading8Char"/>
    <w:qFormat/>
    <w:rsid w:val="00B26477"/>
    <w:pPr>
      <w:ind w:left="720"/>
      <w:outlineLvl w:val="7"/>
    </w:pPr>
    <w:rPr>
      <w:i/>
    </w:rPr>
  </w:style>
  <w:style w:type="paragraph" w:styleId="Heading9">
    <w:name w:val="heading 9"/>
    <w:basedOn w:val="Normal"/>
    <w:next w:val="Normal"/>
    <w:link w:val="Heading9Char"/>
    <w:qFormat/>
    <w:rsid w:val="00B26477"/>
    <w:pPr>
      <w:ind w:left="720"/>
      <w:outlineLvl w:val="8"/>
    </w:pPr>
    <w:rPr>
      <w:i/>
    </w:rPr>
  </w:style>
  <w:style w:type="character" w:default="1" w:styleId="DefaultParagraphFont">
    <w:name w:val="Default Paragraph Font"/>
    <w:uiPriority w:val="1"/>
    <w:unhideWhenUsed/>
    <w:rsid w:val="00B264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6477"/>
  </w:style>
  <w:style w:type="character" w:customStyle="1" w:styleId="Heading1Char">
    <w:name w:val="Heading 1 Char"/>
    <w:basedOn w:val="DefaultParagraphFont"/>
    <w:link w:val="Heading1"/>
    <w:rsid w:val="00B26477"/>
    <w:rPr>
      <w:rFonts w:ascii="Times New Roman" w:eastAsia="Times New Roman" w:hAnsi="Times New Roman" w:cs="Times New Roman"/>
      <w:b/>
      <w:sz w:val="32"/>
      <w:szCs w:val="20"/>
      <w:lang w:eastAsia="en-US"/>
    </w:rPr>
  </w:style>
  <w:style w:type="paragraph" w:styleId="BodyText">
    <w:name w:val="Body Text"/>
    <w:basedOn w:val="Normal"/>
    <w:link w:val="BodyTextChar"/>
    <w:rsid w:val="00B2647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26477"/>
    <w:rPr>
      <w:rFonts w:ascii="Times New Roman" w:eastAsia="Times New Roman" w:hAnsi="Times New Roman" w:cs="Times New Roman"/>
      <w:sz w:val="24"/>
      <w:lang w:eastAsia="en-US"/>
    </w:rPr>
  </w:style>
  <w:style w:type="paragraph" w:styleId="ListBullet">
    <w:name w:val="List Bullet"/>
    <w:basedOn w:val="List"/>
    <w:rsid w:val="00B26477"/>
    <w:pPr>
      <w:numPr>
        <w:numId w:val="11"/>
      </w:numPr>
      <w:tabs>
        <w:tab w:val="clear" w:pos="340"/>
      </w:tabs>
      <w:spacing w:before="40" w:after="40"/>
    </w:pPr>
  </w:style>
  <w:style w:type="character" w:customStyle="1" w:styleId="SpecialBold">
    <w:name w:val="Special Bold"/>
    <w:basedOn w:val="DefaultParagraphFont"/>
    <w:rsid w:val="00B26477"/>
    <w:rPr>
      <w:b/>
      <w:spacing w:val="0"/>
    </w:rPr>
  </w:style>
  <w:style w:type="paragraph" w:customStyle="1" w:styleId="SuperHeading">
    <w:name w:val="SuperHeading"/>
    <w:basedOn w:val="Normal"/>
    <w:rsid w:val="00B26477"/>
    <w:pPr>
      <w:spacing w:before="240" w:after="120"/>
      <w:outlineLvl w:val="0"/>
    </w:pPr>
    <w:rPr>
      <w:rFonts w:ascii="Times New Roman" w:hAnsi="Times New Roman"/>
      <w:b/>
      <w:sz w:val="32"/>
    </w:rPr>
  </w:style>
  <w:style w:type="paragraph" w:customStyle="1" w:styleId="AllowPageBreak">
    <w:name w:val="AllowPageBreak"/>
    <w:rsid w:val="00B2647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264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64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64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64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64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647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647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6477"/>
    <w:rPr>
      <w:rFonts w:ascii="Courier New" w:eastAsia="Times New Roman" w:hAnsi="Courier New" w:cs="Times New Roman"/>
      <w:i/>
      <w:szCs w:val="20"/>
      <w:lang w:eastAsia="en-US"/>
    </w:rPr>
  </w:style>
  <w:style w:type="paragraph" w:customStyle="1" w:styleId="HeadingBase">
    <w:name w:val="Heading Base"/>
    <w:rsid w:val="00B264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6477"/>
    <w:pPr>
      <w:tabs>
        <w:tab w:val="right" w:leader="dot" w:pos="9072"/>
      </w:tabs>
      <w:ind w:left="567"/>
    </w:pPr>
    <w:rPr>
      <w:szCs w:val="22"/>
    </w:rPr>
  </w:style>
  <w:style w:type="paragraph" w:customStyle="1" w:styleId="TOCBase">
    <w:name w:val="TOC Base"/>
    <w:rsid w:val="00B264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6477"/>
    <w:pPr>
      <w:tabs>
        <w:tab w:val="right" w:leader="dot" w:pos="9072"/>
      </w:tabs>
      <w:spacing w:before="40" w:after="40"/>
      <w:ind w:left="284"/>
    </w:pPr>
    <w:rPr>
      <w:rFonts w:ascii="Times New Roman" w:hAnsi="Times New Roman"/>
    </w:rPr>
  </w:style>
  <w:style w:type="paragraph" w:styleId="TOC1">
    <w:name w:val="toc 1"/>
    <w:basedOn w:val="TOCBase"/>
    <w:next w:val="Normal"/>
    <w:rsid w:val="00B2647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264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6477"/>
    <w:rPr>
      <w:rFonts w:ascii="Times New Roman" w:eastAsia="Times New Roman" w:hAnsi="Times New Roman" w:cs="Times New Roman"/>
      <w:sz w:val="16"/>
      <w:lang w:eastAsia="en-US"/>
    </w:rPr>
  </w:style>
  <w:style w:type="paragraph" w:styleId="Title">
    <w:name w:val="Title"/>
    <w:basedOn w:val="HeadingBase"/>
    <w:link w:val="TitleChar"/>
    <w:qFormat/>
    <w:rsid w:val="00B26477"/>
    <w:pPr>
      <w:spacing w:before="5040"/>
      <w:jc w:val="center"/>
    </w:pPr>
    <w:rPr>
      <w:sz w:val="48"/>
      <w:szCs w:val="72"/>
      <w:lang w:val="en-US"/>
    </w:rPr>
  </w:style>
  <w:style w:type="character" w:customStyle="1" w:styleId="TitleChar">
    <w:name w:val="Title Char"/>
    <w:basedOn w:val="DefaultParagraphFont"/>
    <w:link w:val="Title"/>
    <w:rsid w:val="00B264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6477"/>
    <w:pPr>
      <w:tabs>
        <w:tab w:val="left" w:pos="3600"/>
        <w:tab w:val="left" w:pos="3958"/>
      </w:tabs>
    </w:pPr>
  </w:style>
  <w:style w:type="paragraph" w:styleId="List">
    <w:name w:val="List"/>
    <w:basedOn w:val="BodyText"/>
    <w:next w:val="BodyText"/>
    <w:rsid w:val="00B26477"/>
    <w:pPr>
      <w:tabs>
        <w:tab w:val="left" w:pos="340"/>
      </w:tabs>
      <w:spacing w:before="60" w:after="60"/>
      <w:ind w:left="340" w:hanging="340"/>
    </w:pPr>
  </w:style>
  <w:style w:type="paragraph" w:customStyle="1" w:styleId="Note">
    <w:name w:val="Note"/>
    <w:basedOn w:val="BodyText"/>
    <w:rsid w:val="00B264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6477"/>
    <w:pPr>
      <w:framePr w:wrap="auto" w:hAnchor="text" w:y="6049"/>
    </w:pPr>
    <w:rPr>
      <w:color w:val="000000"/>
      <w:sz w:val="40"/>
    </w:rPr>
  </w:style>
  <w:style w:type="paragraph" w:customStyle="1" w:styleId="TOCTitle">
    <w:name w:val="TOCTitle"/>
    <w:basedOn w:val="Heading1"/>
    <w:rsid w:val="00B26477"/>
    <w:pPr>
      <w:spacing w:after="240"/>
      <w:jc w:val="center"/>
      <w:outlineLvl w:val="9"/>
    </w:pPr>
    <w:rPr>
      <w:caps/>
    </w:rPr>
  </w:style>
  <w:style w:type="paragraph" w:customStyle="1" w:styleId="Version">
    <w:name w:val="Version"/>
    <w:rsid w:val="00B2647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26477"/>
    <w:pPr>
      <w:numPr>
        <w:numId w:val="12"/>
      </w:numPr>
      <w:tabs>
        <w:tab w:val="clear" w:pos="680"/>
      </w:tabs>
    </w:pPr>
  </w:style>
  <w:style w:type="paragraph" w:styleId="Index1">
    <w:name w:val="index 1"/>
    <w:basedOn w:val="Normal"/>
    <w:next w:val="Normal"/>
    <w:semiHidden/>
    <w:rsid w:val="00B26477"/>
    <w:pPr>
      <w:keepNext w:val="0"/>
      <w:tabs>
        <w:tab w:val="right" w:pos="4176"/>
      </w:tabs>
      <w:ind w:left="198" w:hanging="198"/>
    </w:pPr>
    <w:rPr>
      <w:rFonts w:ascii="Garamond" w:hAnsi="Garamond"/>
    </w:rPr>
  </w:style>
  <w:style w:type="paragraph" w:styleId="IndexHeading">
    <w:name w:val="index heading"/>
    <w:basedOn w:val="Normal"/>
    <w:next w:val="Index1"/>
    <w:semiHidden/>
    <w:rsid w:val="00B26477"/>
    <w:pPr>
      <w:spacing w:before="120" w:after="120"/>
    </w:pPr>
    <w:rPr>
      <w:rFonts w:ascii="Arial" w:hAnsi="Arial"/>
      <w:b/>
      <w:color w:val="918585"/>
      <w:sz w:val="24"/>
    </w:rPr>
  </w:style>
  <w:style w:type="paragraph" w:styleId="Header">
    <w:name w:val="header"/>
    <w:basedOn w:val="Normal"/>
    <w:link w:val="HeaderChar"/>
    <w:rsid w:val="00B264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6477"/>
    <w:rPr>
      <w:rFonts w:ascii="Times New Roman" w:eastAsia="Times New Roman" w:hAnsi="Times New Roman" w:cs="Times New Roman"/>
      <w:sz w:val="16"/>
      <w:szCs w:val="20"/>
      <w:lang w:val="en-GB" w:eastAsia="en-US"/>
    </w:rPr>
  </w:style>
  <w:style w:type="paragraph" w:customStyle="1" w:styleId="Chapter">
    <w:name w:val="Chapter"/>
    <w:basedOn w:val="Normal"/>
    <w:rsid w:val="00B26477"/>
    <w:pPr>
      <w:spacing w:before="240"/>
    </w:pPr>
    <w:rPr>
      <w:rFonts w:ascii="Times New Roman" w:hAnsi="Times New Roman"/>
      <w:smallCaps/>
      <w:spacing w:val="80"/>
      <w:sz w:val="28"/>
    </w:rPr>
  </w:style>
  <w:style w:type="paragraph" w:customStyle="1" w:styleId="InChapter">
    <w:name w:val="InChapter"/>
    <w:basedOn w:val="Heading3"/>
    <w:rsid w:val="00B26477"/>
    <w:pPr>
      <w:spacing w:after="240"/>
      <w:outlineLvl w:val="9"/>
    </w:pPr>
    <w:rPr>
      <w:noProof/>
    </w:rPr>
  </w:style>
  <w:style w:type="paragraph" w:styleId="Index2">
    <w:name w:val="index 2"/>
    <w:basedOn w:val="Normal"/>
    <w:next w:val="Normal"/>
    <w:semiHidden/>
    <w:rsid w:val="00B26477"/>
    <w:pPr>
      <w:tabs>
        <w:tab w:val="right" w:pos="4176"/>
      </w:tabs>
      <w:ind w:left="568" w:hanging="284"/>
    </w:pPr>
    <w:rPr>
      <w:rFonts w:ascii="Garamond" w:hAnsi="Garamond"/>
    </w:rPr>
  </w:style>
  <w:style w:type="paragraph" w:customStyle="1" w:styleId="Byline">
    <w:name w:val="Byline"/>
    <w:rsid w:val="00B264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6477"/>
    <w:pPr>
      <w:tabs>
        <w:tab w:val="clear" w:pos="3600"/>
        <w:tab w:val="clear" w:pos="3958"/>
      </w:tabs>
      <w:jc w:val="right"/>
    </w:pPr>
  </w:style>
  <w:style w:type="character" w:styleId="Emphasis">
    <w:name w:val="Emphasis"/>
    <w:basedOn w:val="DefaultParagraphFont"/>
    <w:qFormat/>
    <w:rsid w:val="00B26477"/>
    <w:rPr>
      <w:i/>
    </w:rPr>
  </w:style>
  <w:style w:type="paragraph" w:styleId="Caption">
    <w:name w:val="caption"/>
    <w:basedOn w:val="BodyText"/>
    <w:next w:val="Normal"/>
    <w:qFormat/>
    <w:rsid w:val="00B26477"/>
    <w:pPr>
      <w:framePr w:w="2268" w:hSpace="181" w:vSpace="181" w:wrap="around" w:vAnchor="text" w:hAnchor="page" w:x="1135" w:y="285" w:anchorLock="1"/>
    </w:pPr>
    <w:rPr>
      <w:i/>
    </w:rPr>
  </w:style>
  <w:style w:type="paragraph" w:customStyle="1" w:styleId="MiniTOCTitle">
    <w:name w:val="MiniTOCTitle"/>
    <w:basedOn w:val="Heading4"/>
    <w:rsid w:val="00B26477"/>
    <w:pPr>
      <w:spacing w:before="240"/>
      <w:outlineLvl w:val="9"/>
    </w:pPr>
    <w:rPr>
      <w:noProof/>
      <w:sz w:val="24"/>
    </w:rPr>
  </w:style>
  <w:style w:type="paragraph" w:customStyle="1" w:styleId="MiniTOCItem">
    <w:name w:val="MiniTOCItem"/>
    <w:basedOn w:val="ListBullet"/>
    <w:rsid w:val="00B26477"/>
    <w:pPr>
      <w:numPr>
        <w:numId w:val="0"/>
      </w:numPr>
      <w:tabs>
        <w:tab w:val="right" w:leader="dot" w:pos="6521"/>
      </w:tabs>
      <w:spacing w:before="0" w:after="0"/>
    </w:pPr>
  </w:style>
  <w:style w:type="paragraph" w:customStyle="1" w:styleId="TOFTitle">
    <w:name w:val="TOFTitle"/>
    <w:basedOn w:val="TOCTitle"/>
    <w:rsid w:val="00B26477"/>
  </w:style>
  <w:style w:type="paragraph" w:styleId="TableofFigures">
    <w:name w:val="table of figures"/>
    <w:basedOn w:val="Normal"/>
    <w:next w:val="Normal"/>
    <w:semiHidden/>
    <w:rsid w:val="00B26477"/>
    <w:pPr>
      <w:tabs>
        <w:tab w:val="right" w:leader="dot" w:pos="9072"/>
      </w:tabs>
      <w:ind w:left="970" w:hanging="403"/>
    </w:pPr>
    <w:rPr>
      <w:rFonts w:ascii="Times New Roman" w:hAnsi="Times New Roman"/>
      <w:b/>
    </w:rPr>
  </w:style>
  <w:style w:type="paragraph" w:styleId="ListNumber">
    <w:name w:val="List Number"/>
    <w:basedOn w:val="List"/>
    <w:rsid w:val="00B26477"/>
    <w:pPr>
      <w:numPr>
        <w:numId w:val="14"/>
      </w:numPr>
      <w:tabs>
        <w:tab w:val="clear" w:pos="340"/>
      </w:tabs>
    </w:pPr>
  </w:style>
  <w:style w:type="character" w:customStyle="1" w:styleId="WingdingSymbols">
    <w:name w:val="Wingding Symbols"/>
    <w:rsid w:val="00B26477"/>
    <w:rPr>
      <w:rFonts w:ascii="Wingdings" w:hAnsi="Wingdings"/>
    </w:rPr>
  </w:style>
  <w:style w:type="paragraph" w:customStyle="1" w:styleId="TableHeading">
    <w:name w:val="Table Heading"/>
    <w:basedOn w:val="HeadingBase"/>
    <w:rsid w:val="00B26477"/>
    <w:pPr>
      <w:keepLines/>
      <w:pBdr>
        <w:bottom w:val="single" w:sz="6" w:space="1" w:color="918585"/>
      </w:pBdr>
      <w:spacing w:before="240"/>
    </w:pPr>
  </w:style>
  <w:style w:type="character" w:customStyle="1" w:styleId="HotSpot">
    <w:name w:val="HotSpot"/>
    <w:rsid w:val="00B26477"/>
    <w:rPr>
      <w:color w:val="0033CC"/>
      <w:u w:val="none"/>
    </w:rPr>
  </w:style>
  <w:style w:type="paragraph" w:customStyle="1" w:styleId="BodyTextRight">
    <w:name w:val="Body Text Right"/>
    <w:basedOn w:val="BodyText"/>
    <w:rsid w:val="00B26477"/>
    <w:pPr>
      <w:spacing w:before="0" w:after="0"/>
      <w:jc w:val="right"/>
    </w:pPr>
  </w:style>
  <w:style w:type="paragraph" w:styleId="Index3">
    <w:name w:val="index 3"/>
    <w:basedOn w:val="ListNumber2"/>
    <w:next w:val="Normal"/>
    <w:semiHidden/>
    <w:rsid w:val="00B26477"/>
    <w:pPr>
      <w:numPr>
        <w:numId w:val="0"/>
      </w:numPr>
      <w:tabs>
        <w:tab w:val="right" w:leader="dot" w:pos="4176"/>
      </w:tabs>
    </w:pPr>
  </w:style>
  <w:style w:type="paragraph" w:styleId="ListNumber2">
    <w:name w:val="List Number 2"/>
    <w:basedOn w:val="List2"/>
    <w:rsid w:val="00B26477"/>
    <w:pPr>
      <w:numPr>
        <w:numId w:val="9"/>
      </w:numPr>
      <w:tabs>
        <w:tab w:val="clear" w:pos="1060"/>
      </w:tabs>
    </w:pPr>
  </w:style>
  <w:style w:type="paragraph" w:customStyle="1" w:styleId="MarginNote">
    <w:name w:val="Margin Note"/>
    <w:basedOn w:val="BodyText"/>
    <w:rsid w:val="00B264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64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647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6477"/>
    <w:rPr>
      <w:sz w:val="32"/>
    </w:rPr>
  </w:style>
  <w:style w:type="paragraph" w:customStyle="1" w:styleId="HeadingProcedure">
    <w:name w:val="Heading Procedure"/>
    <w:basedOn w:val="HeadingBase"/>
    <w:next w:val="Normal"/>
    <w:rsid w:val="00B26477"/>
    <w:pPr>
      <w:tabs>
        <w:tab w:val="left" w:pos="0"/>
      </w:tabs>
      <w:spacing w:before="120" w:after="60"/>
    </w:pPr>
    <w:rPr>
      <w:i/>
      <w:color w:val="918585"/>
      <w:sz w:val="22"/>
    </w:rPr>
  </w:style>
  <w:style w:type="paragraph" w:customStyle="1" w:styleId="TableBodyText">
    <w:name w:val="Table Body Text"/>
    <w:basedOn w:val="BodyText"/>
    <w:rsid w:val="00B26477"/>
    <w:pPr>
      <w:spacing w:before="60" w:after="60"/>
    </w:pPr>
  </w:style>
  <w:style w:type="paragraph" w:styleId="ListContinue">
    <w:name w:val="List Continue"/>
    <w:basedOn w:val="List"/>
    <w:rsid w:val="00B26477"/>
    <w:pPr>
      <w:ind w:firstLine="0"/>
    </w:pPr>
  </w:style>
  <w:style w:type="paragraph" w:customStyle="1" w:styleId="ListNote">
    <w:name w:val="List Note"/>
    <w:basedOn w:val="List"/>
    <w:rsid w:val="00B26477"/>
    <w:pPr>
      <w:pBdr>
        <w:top w:val="single" w:sz="6" w:space="2" w:color="918585"/>
        <w:bottom w:val="single" w:sz="6" w:space="2" w:color="918585"/>
      </w:pBdr>
      <w:tabs>
        <w:tab w:val="left" w:pos="1021"/>
      </w:tabs>
      <w:ind w:firstLine="0"/>
    </w:pPr>
  </w:style>
  <w:style w:type="paragraph" w:customStyle="1" w:styleId="Warning">
    <w:name w:val="Warning"/>
    <w:basedOn w:val="BodyText"/>
    <w:rsid w:val="00B26477"/>
    <w:pPr>
      <w:shd w:val="clear" w:color="auto" w:fill="D9D9D9"/>
      <w:tabs>
        <w:tab w:val="left" w:pos="992"/>
      </w:tabs>
      <w:ind w:left="119" w:right="119"/>
    </w:pPr>
    <w:rPr>
      <w:sz w:val="20"/>
    </w:rPr>
  </w:style>
  <w:style w:type="paragraph" w:customStyle="1" w:styleId="MarginIcons">
    <w:name w:val="Margin Icons"/>
    <w:basedOn w:val="BodyText"/>
    <w:rsid w:val="00B264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6477"/>
    <w:rPr>
      <w:rFonts w:ascii="Courier New" w:hAnsi="Courier New"/>
    </w:rPr>
  </w:style>
  <w:style w:type="paragraph" w:customStyle="1" w:styleId="NoteBullet">
    <w:name w:val="Note Bullet"/>
    <w:basedOn w:val="Note"/>
    <w:rsid w:val="00B26477"/>
    <w:pPr>
      <w:tabs>
        <w:tab w:val="clear" w:pos="680"/>
      </w:tabs>
      <w:spacing w:before="60" w:after="60"/>
    </w:pPr>
  </w:style>
  <w:style w:type="paragraph" w:customStyle="1" w:styleId="SubHeading2">
    <w:name w:val="SubHeading2"/>
    <w:basedOn w:val="HeadingBase"/>
    <w:rsid w:val="00B26477"/>
    <w:pPr>
      <w:spacing w:before="240" w:after="60"/>
    </w:pPr>
    <w:rPr>
      <w:sz w:val="20"/>
    </w:rPr>
  </w:style>
  <w:style w:type="paragraph" w:customStyle="1" w:styleId="SubHeading1">
    <w:name w:val="SubHeading1"/>
    <w:basedOn w:val="HeadingBase"/>
    <w:rsid w:val="00B26477"/>
    <w:pPr>
      <w:spacing w:before="240" w:after="60"/>
    </w:pPr>
    <w:rPr>
      <w:color w:val="918585"/>
      <w:sz w:val="22"/>
    </w:rPr>
  </w:style>
  <w:style w:type="paragraph" w:customStyle="1" w:styleId="SideHeading">
    <w:name w:val="Side Heading"/>
    <w:basedOn w:val="HeadingBase"/>
    <w:rsid w:val="00B264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6477"/>
    <w:pPr>
      <w:numPr>
        <w:numId w:val="10"/>
      </w:numPr>
    </w:pPr>
  </w:style>
  <w:style w:type="paragraph" w:styleId="PlainText">
    <w:name w:val="Plain Text"/>
    <w:basedOn w:val="Normal"/>
    <w:link w:val="PlainTextChar"/>
    <w:rsid w:val="00B26477"/>
    <w:rPr>
      <w:sz w:val="20"/>
    </w:rPr>
  </w:style>
  <w:style w:type="character" w:customStyle="1" w:styleId="PlainTextChar">
    <w:name w:val="Plain Text Char"/>
    <w:basedOn w:val="DefaultParagraphFont"/>
    <w:link w:val="PlainText"/>
    <w:rsid w:val="00B26477"/>
    <w:rPr>
      <w:rFonts w:ascii="Courier New" w:eastAsia="Times New Roman" w:hAnsi="Courier New" w:cs="Times New Roman"/>
      <w:sz w:val="20"/>
      <w:szCs w:val="20"/>
      <w:lang w:eastAsia="en-US"/>
    </w:rPr>
  </w:style>
  <w:style w:type="character" w:customStyle="1" w:styleId="MenuOption">
    <w:name w:val="Menu Option"/>
    <w:basedOn w:val="DefaultParagraphFont"/>
    <w:rsid w:val="00B26477"/>
    <w:rPr>
      <w:b/>
      <w:smallCaps/>
    </w:rPr>
  </w:style>
  <w:style w:type="paragraph" w:customStyle="1" w:styleId="TableListNumber">
    <w:name w:val="Table List Number"/>
    <w:basedOn w:val="ListNumber"/>
    <w:rsid w:val="00B26477"/>
    <w:pPr>
      <w:numPr>
        <w:numId w:val="0"/>
      </w:numPr>
    </w:pPr>
  </w:style>
  <w:style w:type="paragraph" w:styleId="TOC4">
    <w:name w:val="toc 4"/>
    <w:basedOn w:val="TOCBase"/>
    <w:next w:val="Normal"/>
    <w:semiHidden/>
    <w:rsid w:val="00B26477"/>
    <w:pPr>
      <w:tabs>
        <w:tab w:val="right" w:leader="dot" w:pos="9071"/>
      </w:tabs>
      <w:ind w:left="1701"/>
    </w:pPr>
  </w:style>
  <w:style w:type="paragraph" w:customStyle="1" w:styleId="ListAlpha">
    <w:name w:val="List Alpha"/>
    <w:basedOn w:val="List"/>
    <w:rsid w:val="00B26477"/>
    <w:pPr>
      <w:numPr>
        <w:numId w:val="8"/>
      </w:numPr>
    </w:pPr>
  </w:style>
  <w:style w:type="paragraph" w:customStyle="1" w:styleId="ListAlpha2">
    <w:name w:val="List Alpha 2"/>
    <w:basedOn w:val="List2"/>
    <w:rsid w:val="00B26477"/>
    <w:pPr>
      <w:numPr>
        <w:numId w:val="7"/>
      </w:numPr>
    </w:pPr>
  </w:style>
  <w:style w:type="paragraph" w:styleId="List2">
    <w:name w:val="List 2"/>
    <w:basedOn w:val="BodyText"/>
    <w:rsid w:val="00B26477"/>
    <w:pPr>
      <w:tabs>
        <w:tab w:val="left" w:pos="680"/>
      </w:tabs>
      <w:spacing w:before="60" w:after="60"/>
      <w:ind w:left="680" w:hanging="340"/>
    </w:pPr>
  </w:style>
  <w:style w:type="paragraph" w:styleId="List3">
    <w:name w:val="List 3"/>
    <w:basedOn w:val="BodyText"/>
    <w:rsid w:val="00B26477"/>
    <w:pPr>
      <w:tabs>
        <w:tab w:val="left" w:pos="1021"/>
      </w:tabs>
      <w:spacing w:before="60" w:after="60"/>
      <w:ind w:left="1020" w:hanging="340"/>
    </w:pPr>
  </w:style>
  <w:style w:type="paragraph" w:styleId="List4">
    <w:name w:val="List 4"/>
    <w:basedOn w:val="BodyText"/>
    <w:rsid w:val="00B26477"/>
    <w:pPr>
      <w:tabs>
        <w:tab w:val="left" w:pos="1361"/>
      </w:tabs>
      <w:spacing w:before="60" w:after="60"/>
      <w:ind w:left="1361" w:hanging="340"/>
    </w:pPr>
  </w:style>
  <w:style w:type="paragraph" w:styleId="List5">
    <w:name w:val="List 5"/>
    <w:basedOn w:val="BodyText"/>
    <w:rsid w:val="00B26477"/>
    <w:pPr>
      <w:tabs>
        <w:tab w:val="left" w:pos="1701"/>
      </w:tabs>
      <w:spacing w:before="60" w:after="60"/>
      <w:ind w:left="1701" w:hanging="340"/>
    </w:pPr>
  </w:style>
  <w:style w:type="paragraph" w:styleId="ListBullet3">
    <w:name w:val="List Bullet 3"/>
    <w:basedOn w:val="List3"/>
    <w:rsid w:val="00B26477"/>
    <w:pPr>
      <w:numPr>
        <w:numId w:val="13"/>
      </w:numPr>
      <w:tabs>
        <w:tab w:val="clear" w:pos="1021"/>
      </w:tabs>
      <w:ind w:left="1037" w:hanging="357"/>
    </w:pPr>
  </w:style>
  <w:style w:type="paragraph" w:styleId="ListBullet4">
    <w:name w:val="List Bullet 4"/>
    <w:basedOn w:val="List4"/>
    <w:rsid w:val="00B26477"/>
    <w:pPr>
      <w:numPr>
        <w:numId w:val="2"/>
      </w:numPr>
      <w:tabs>
        <w:tab w:val="clear" w:pos="1361"/>
      </w:tabs>
    </w:pPr>
  </w:style>
  <w:style w:type="paragraph" w:styleId="ListBullet5">
    <w:name w:val="List Bullet 5"/>
    <w:basedOn w:val="List5"/>
    <w:rsid w:val="00B26477"/>
    <w:pPr>
      <w:numPr>
        <w:numId w:val="3"/>
      </w:numPr>
    </w:pPr>
  </w:style>
  <w:style w:type="paragraph" w:styleId="ListContinue2">
    <w:name w:val="List Continue 2"/>
    <w:basedOn w:val="List2"/>
    <w:rsid w:val="00B26477"/>
    <w:pPr>
      <w:ind w:firstLine="0"/>
    </w:pPr>
  </w:style>
  <w:style w:type="paragraph" w:styleId="ListContinue3">
    <w:name w:val="List Continue 3"/>
    <w:basedOn w:val="List3"/>
    <w:rsid w:val="00B26477"/>
    <w:pPr>
      <w:ind w:left="1021" w:firstLine="0"/>
    </w:pPr>
  </w:style>
  <w:style w:type="paragraph" w:styleId="ListContinue4">
    <w:name w:val="List Continue 4"/>
    <w:basedOn w:val="List4"/>
    <w:rsid w:val="00B26477"/>
    <w:pPr>
      <w:ind w:firstLine="0"/>
    </w:pPr>
  </w:style>
  <w:style w:type="paragraph" w:styleId="ListContinue5">
    <w:name w:val="List Continue 5"/>
    <w:basedOn w:val="List5"/>
    <w:rsid w:val="00B26477"/>
    <w:pPr>
      <w:ind w:firstLine="0"/>
    </w:pPr>
  </w:style>
  <w:style w:type="paragraph" w:styleId="ListNumber3">
    <w:name w:val="List Number 3"/>
    <w:basedOn w:val="List3"/>
    <w:rsid w:val="00B26477"/>
    <w:pPr>
      <w:numPr>
        <w:numId w:val="4"/>
      </w:numPr>
    </w:pPr>
  </w:style>
  <w:style w:type="paragraph" w:styleId="ListNumber4">
    <w:name w:val="List Number 4"/>
    <w:basedOn w:val="List4"/>
    <w:rsid w:val="00B26477"/>
    <w:pPr>
      <w:numPr>
        <w:numId w:val="5"/>
      </w:numPr>
    </w:pPr>
  </w:style>
  <w:style w:type="paragraph" w:styleId="ListNumber5">
    <w:name w:val="List Number 5"/>
    <w:basedOn w:val="List5"/>
    <w:rsid w:val="00B26477"/>
    <w:pPr>
      <w:numPr>
        <w:numId w:val="6"/>
      </w:numPr>
    </w:pPr>
  </w:style>
  <w:style w:type="paragraph" w:styleId="BlockText">
    <w:name w:val="Block Text"/>
    <w:basedOn w:val="Normal"/>
    <w:rsid w:val="00B26477"/>
    <w:pPr>
      <w:spacing w:after="120"/>
      <w:ind w:left="1440" w:right="1440"/>
    </w:pPr>
  </w:style>
  <w:style w:type="character" w:customStyle="1" w:styleId="Subscript">
    <w:name w:val="Subscript"/>
    <w:basedOn w:val="DefaultParagraphFont"/>
    <w:rsid w:val="00B26477"/>
    <w:rPr>
      <w:sz w:val="16"/>
      <w:vertAlign w:val="subscript"/>
    </w:rPr>
  </w:style>
  <w:style w:type="character" w:customStyle="1" w:styleId="Superscript">
    <w:name w:val="Superscript"/>
    <w:basedOn w:val="DefaultParagraphFont"/>
    <w:rsid w:val="00B26477"/>
    <w:rPr>
      <w:sz w:val="16"/>
      <w:vertAlign w:val="superscript"/>
    </w:rPr>
  </w:style>
  <w:style w:type="character" w:customStyle="1" w:styleId="Symbols">
    <w:name w:val="Symbols"/>
    <w:basedOn w:val="DefaultParagraphFont"/>
    <w:rsid w:val="00B26477"/>
    <w:rPr>
      <w:rFonts w:ascii="Symbol" w:hAnsi="Symbol"/>
    </w:rPr>
  </w:style>
  <w:style w:type="character" w:customStyle="1" w:styleId="MenuOptions">
    <w:name w:val="Menu Options"/>
    <w:basedOn w:val="DefaultParagraphFont"/>
    <w:rsid w:val="00B26477"/>
    <w:rPr>
      <w:rFonts w:ascii="Arial Narrow" w:hAnsi="Arial Narrow"/>
      <w:smallCaps/>
    </w:rPr>
  </w:style>
  <w:style w:type="character" w:customStyle="1" w:styleId="Buttons">
    <w:name w:val="Buttons"/>
    <w:basedOn w:val="DefaultParagraphFont"/>
    <w:rsid w:val="00B26477"/>
    <w:rPr>
      <w:b/>
    </w:rPr>
  </w:style>
  <w:style w:type="character" w:customStyle="1" w:styleId="Underlined">
    <w:name w:val="Underlined"/>
    <w:basedOn w:val="DefaultParagraphFont"/>
    <w:rsid w:val="00B26477"/>
    <w:rPr>
      <w:u w:val="single"/>
    </w:rPr>
  </w:style>
  <w:style w:type="paragraph" w:customStyle="1" w:styleId="TableBodyTextRight">
    <w:name w:val="Table Body Text Right"/>
    <w:basedOn w:val="TableBodyText"/>
    <w:rsid w:val="00B26477"/>
    <w:pPr>
      <w:widowControl w:val="0"/>
      <w:autoSpaceDE w:val="0"/>
      <w:autoSpaceDN w:val="0"/>
      <w:adjustRightInd w:val="0"/>
      <w:jc w:val="right"/>
    </w:pPr>
    <w:rPr>
      <w:rFonts w:cs="Arial"/>
      <w:szCs w:val="18"/>
    </w:rPr>
  </w:style>
  <w:style w:type="paragraph" w:customStyle="1" w:styleId="CopyrightText">
    <w:name w:val="Copyright Text"/>
    <w:basedOn w:val="BodyText"/>
    <w:rsid w:val="00B26477"/>
    <w:rPr>
      <w:sz w:val="18"/>
    </w:rPr>
  </w:style>
  <w:style w:type="paragraph" w:customStyle="1" w:styleId="BodySmallRight">
    <w:name w:val="Body Small Right"/>
    <w:basedOn w:val="BodyTextRight"/>
    <w:rsid w:val="00B26477"/>
    <w:rPr>
      <w:sz w:val="18"/>
      <w:szCs w:val="18"/>
    </w:rPr>
  </w:style>
  <w:style w:type="paragraph" w:customStyle="1" w:styleId="MarginEdition">
    <w:name w:val="Margin Edition"/>
    <w:basedOn w:val="MarginNote"/>
    <w:rsid w:val="00B26477"/>
    <w:pPr>
      <w:spacing w:before="0" w:after="0"/>
    </w:pPr>
    <w:rPr>
      <w:rFonts w:ascii="Times New Roman" w:hAnsi="Times New Roman"/>
      <w:color w:val="999999"/>
    </w:rPr>
  </w:style>
  <w:style w:type="paragraph" w:customStyle="1" w:styleId="Spacer">
    <w:name w:val="Spacer"/>
    <w:basedOn w:val="Normal"/>
    <w:rsid w:val="00B26477"/>
    <w:rPr>
      <w:sz w:val="2"/>
      <w:szCs w:val="2"/>
    </w:rPr>
  </w:style>
  <w:style w:type="character" w:customStyle="1" w:styleId="Small">
    <w:name w:val="Small"/>
    <w:basedOn w:val="DefaultParagraphFont"/>
    <w:rsid w:val="00B26477"/>
    <w:rPr>
      <w:sz w:val="16"/>
    </w:rPr>
  </w:style>
  <w:style w:type="paragraph" w:customStyle="1" w:styleId="WideTable">
    <w:name w:val="Wide Table"/>
    <w:basedOn w:val="Normal"/>
    <w:rsid w:val="00B26477"/>
    <w:pPr>
      <w:ind w:left="-1418"/>
    </w:pPr>
    <w:rPr>
      <w:sz w:val="2"/>
      <w:szCs w:val="2"/>
    </w:rPr>
  </w:style>
  <w:style w:type="character" w:styleId="PageNumber">
    <w:name w:val="page number"/>
    <w:basedOn w:val="DefaultParagraphFont"/>
    <w:rsid w:val="00B26477"/>
  </w:style>
  <w:style w:type="paragraph" w:styleId="Quote">
    <w:name w:val="Quote"/>
    <w:basedOn w:val="Heading1"/>
    <w:link w:val="QuoteChar"/>
    <w:qFormat/>
    <w:rsid w:val="00B26477"/>
    <w:rPr>
      <w:b w:val="0"/>
      <w:sz w:val="72"/>
      <w:szCs w:val="72"/>
      <w:lang w:val="en-NZ"/>
    </w:rPr>
  </w:style>
  <w:style w:type="character" w:customStyle="1" w:styleId="QuoteChar">
    <w:name w:val="Quote Char"/>
    <w:basedOn w:val="DefaultParagraphFont"/>
    <w:link w:val="Quote"/>
    <w:rsid w:val="00B264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6477"/>
    <w:pPr>
      <w:pageBreakBefore/>
    </w:pPr>
  </w:style>
  <w:style w:type="paragraph" w:customStyle="1" w:styleId="Border">
    <w:name w:val="Border"/>
    <w:basedOn w:val="Normal"/>
    <w:qFormat/>
    <w:rsid w:val="00B264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6477"/>
    <w:rPr>
      <w:b/>
      <w:bCs/>
      <w:i/>
      <w:iCs/>
      <w:color w:val="auto"/>
    </w:rPr>
  </w:style>
  <w:style w:type="paragraph" w:styleId="IntenseQuote">
    <w:name w:val="Intense Quote"/>
    <w:basedOn w:val="Normal"/>
    <w:next w:val="Normal"/>
    <w:link w:val="IntenseQuoteChar"/>
    <w:uiPriority w:val="30"/>
    <w:qFormat/>
    <w:rsid w:val="00B264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647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6477"/>
    <w:rPr>
      <w:smallCaps/>
      <w:color w:val="auto"/>
      <w:u w:val="single"/>
    </w:rPr>
  </w:style>
  <w:style w:type="character" w:styleId="IntenseReference">
    <w:name w:val="Intense Reference"/>
    <w:basedOn w:val="DefaultParagraphFont"/>
    <w:uiPriority w:val="32"/>
    <w:qFormat/>
    <w:rsid w:val="00B26477"/>
    <w:rPr>
      <w:b/>
      <w:bCs/>
      <w:smallCaps/>
      <w:color w:val="auto"/>
      <w:spacing w:val="5"/>
      <w:u w:val="single"/>
    </w:rPr>
  </w:style>
  <w:style w:type="paragraph" w:customStyle="1" w:styleId="2ColumnHeading">
    <w:name w:val="2Column Heading"/>
    <w:basedOn w:val="BodyText"/>
    <w:qFormat/>
    <w:rsid w:val="00B26477"/>
    <w:pPr>
      <w:spacing w:after="60"/>
      <w:ind w:left="-2268"/>
    </w:pPr>
    <w:rPr>
      <w:b/>
    </w:rPr>
  </w:style>
  <w:style w:type="paragraph" w:customStyle="1" w:styleId="Heading1TOC">
    <w:name w:val="Heading1 TOC"/>
    <w:basedOn w:val="Normal"/>
    <w:qFormat/>
    <w:rsid w:val="00B26477"/>
    <w:pPr>
      <w:spacing w:before="240" w:after="120"/>
    </w:pPr>
    <w:rPr>
      <w:rFonts w:ascii="Times New Roman" w:hAnsi="Times New Roman"/>
      <w:b/>
      <w:sz w:val="32"/>
    </w:rPr>
  </w:style>
  <w:style w:type="paragraph" w:customStyle="1" w:styleId="Heading2TOC">
    <w:name w:val="Heading2 TOC"/>
    <w:basedOn w:val="Normal"/>
    <w:qFormat/>
    <w:rsid w:val="00B26477"/>
    <w:pPr>
      <w:spacing w:before="240" w:after="60"/>
    </w:pPr>
    <w:rPr>
      <w:rFonts w:ascii="Times New Roman" w:hAnsi="Times New Roman"/>
      <w:b/>
      <w:sz w:val="28"/>
    </w:rPr>
  </w:style>
  <w:style w:type="character" w:customStyle="1" w:styleId="Underline">
    <w:name w:val="Underline"/>
    <w:basedOn w:val="DefaultParagraphFont"/>
    <w:qFormat/>
    <w:rsid w:val="00B26477"/>
    <w:rPr>
      <w:u w:val="single"/>
    </w:rPr>
  </w:style>
  <w:style w:type="character" w:customStyle="1" w:styleId="BoldandItalics">
    <w:name w:val="Bold and Italics"/>
    <w:qFormat/>
    <w:rsid w:val="00B26477"/>
    <w:rPr>
      <w:b/>
      <w:i/>
      <w:u w:val="none"/>
    </w:rPr>
  </w:style>
  <w:style w:type="paragraph" w:styleId="BalloonText">
    <w:name w:val="Balloon Text"/>
    <w:basedOn w:val="Normal"/>
    <w:link w:val="BalloonTextChar"/>
    <w:rsid w:val="00B26477"/>
    <w:rPr>
      <w:rFonts w:ascii="Tahoma" w:hAnsi="Tahoma" w:cs="Tahoma"/>
      <w:sz w:val="16"/>
      <w:szCs w:val="16"/>
    </w:rPr>
  </w:style>
  <w:style w:type="character" w:customStyle="1" w:styleId="BalloonTextChar">
    <w:name w:val="Balloon Text Char"/>
    <w:basedOn w:val="DefaultParagraphFont"/>
    <w:link w:val="BalloonText"/>
    <w:rsid w:val="00B2647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647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2647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6477"/>
    <w:rPr>
      <w:b/>
      <w:color w:val="660033"/>
      <w:spacing w:val="0"/>
    </w:rPr>
  </w:style>
  <w:style w:type="paragraph" w:customStyle="1" w:styleId="Nameditemlist">
    <w:name w:val="Named item list"/>
    <w:basedOn w:val="BodyText"/>
    <w:qFormat/>
    <w:rsid w:val="00B26477"/>
    <w:pPr>
      <w:tabs>
        <w:tab w:val="left" w:pos="2835"/>
      </w:tabs>
      <w:ind w:left="2835" w:hanging="2835"/>
    </w:pPr>
  </w:style>
  <w:style w:type="paragraph" w:customStyle="1" w:styleId="BodyTextnopadding">
    <w:name w:val="Body Text no padding"/>
    <w:basedOn w:val="BodyText"/>
    <w:qFormat/>
    <w:rsid w:val="00B26477"/>
    <w:pPr>
      <w:spacing w:before="0" w:after="0"/>
    </w:pPr>
  </w:style>
  <w:style w:type="paragraph" w:customStyle="1" w:styleId="BodyTextBold">
    <w:name w:val="Body Text Bold"/>
    <w:basedOn w:val="BodyText"/>
    <w:qFormat/>
    <w:rsid w:val="00B26477"/>
    <w:rPr>
      <w:b/>
    </w:rPr>
  </w:style>
  <w:style w:type="character" w:styleId="Hyperlink">
    <w:name w:val="Hyperlink"/>
    <w:basedOn w:val="DefaultParagraphFont"/>
    <w:uiPriority w:val="99"/>
    <w:unhideWhenUsed/>
    <w:rsid w:val="0057150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1040</Words>
  <Characters>6559</Characters>
  <Application>Microsoft Office Word</Application>
  <DocSecurity>0</DocSecurity>
  <Lines>262</Lines>
  <Paragraphs>128</Paragraphs>
  <ScaleCrop>false</ScaleCrop>
  <Company>Author-it Software Corporation Ltd.</Company>
  <LinksUpToDate>false</LinksUpToDate>
  <CharactersWithSpaces>7471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MSS405081 Develop a proactive maintenance strategy</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2024-11-07T12:32:00Z</dcterms:created>
  <dcterms:modified xsi:type="dcterms:W3CDTF">2024-11-07T12:32:00Z</dcterms:modified>
</cp:coreProperties>
</file>