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0F3" w:rsidP="004C10F3">
      <w:pPr>
        <w:pStyle w:val="Title"/>
      </w:pPr>
      <w:r>
        <w:fldChar w:fldCharType="begin"/>
      </w:r>
      <w:r>
        <w:instrText xml:space="preserve"> TITLE   \* MERGEFORMAT </w:instrText>
      </w:r>
      <w:r>
        <w:fldChar w:fldCharType="separate"/>
      </w:r>
      <w:r>
        <w:t>MSS405070 Develop sustainable energy practices</w:t>
      </w:r>
      <w:r>
        <w:fldChar w:fldCharType="end"/>
      </w:r>
    </w:p>
    <w:p w:rsidR="004C10F3" w:rsidP="004C10F3">
      <w:pPr>
        <w:pStyle w:val="Version"/>
        <w:sectPr w:rsidSect="000B4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606" w:rsidP="000B4606">
      <w:pPr>
        <w:pStyle w:val="SuperHeading"/>
      </w:pPr>
      <w:r w:rsidRPr="000B4606">
        <w:t>MSS405070 Develop sustainable energy practices</w:t>
      </w:r>
    </w:p>
    <w:p w:rsidR="00000000" w:rsidRPr="000B4606" w:rsidP="000B4606">
      <w:pPr>
        <w:pStyle w:val="Heading1"/>
      </w:pPr>
      <w:bookmarkStart w:id="1" w:name="O_921518"/>
      <w:bookmarkEnd w:id="1"/>
      <w:r w:rsidRPr="000B4606">
        <w:t>Modification History</w:t>
      </w:r>
    </w:p>
    <w:p w:rsidR="00000000" w:rsidRPr="000B4606" w:rsidP="004C10F3">
      <w:pPr>
        <w:pStyle w:val="BodyText"/>
      </w:pPr>
      <w:r w:rsidRPr="000B4606">
        <w:t>Release 1. Supersedes and is equivalent to MSS405070A Develop and manage sustainable energy practices</w:t>
      </w:r>
    </w:p>
    <w:p w:rsidR="00000000" w:rsidRPr="000B4606" w:rsidP="000B4606">
      <w:pPr>
        <w:pStyle w:val="Heading1"/>
      </w:pPr>
      <w:bookmarkStart w:id="2" w:name="O_921526"/>
      <w:bookmarkEnd w:id="2"/>
      <w:r w:rsidRPr="000B4606">
        <w:t>Application</w:t>
      </w:r>
    </w:p>
    <w:p w:rsidR="00000000" w:rsidRPr="000B4606" w:rsidP="004C10F3">
      <w:pPr>
        <w:pStyle w:val="BodyText"/>
      </w:pPr>
      <w:r w:rsidRPr="000B4606">
        <w:t>This unit of competency covers the skills and knowledge required by an individual to identify op</w:t>
      </w:r>
      <w:r w:rsidRPr="000B4606">
        <w:t>portunities for, and make improvements in, sustainable energy practices in an organisation. Areas covered include efficient use of raw materials, management of waste, electricity conservation, heat conservation and management, water management, environment</w:t>
      </w:r>
      <w:r w:rsidRPr="000B4606">
        <w:t xml:space="preserve"> protection and environment obligations of enterprises.</w:t>
      </w:r>
    </w:p>
    <w:p w:rsidR="00000000" w:rsidRPr="000B4606" w:rsidP="004C10F3">
      <w:pPr>
        <w:pStyle w:val="BodyText"/>
      </w:pPr>
      <w:r w:rsidRPr="000B4606">
        <w:t>The unit involves analysis of energy used in processes and operations and categorising the energy use according to lean principles. The unit covers categorising energy into necessary use and muda (wa</w:t>
      </w:r>
      <w:r w:rsidRPr="000B4606">
        <w:t>ste) with the muda being further categorised into necessary muda and unnecessary muda. Strategies for eliminating or minimising energy muda are covered with benefit/cost analyses being required for strategies.</w:t>
      </w:r>
    </w:p>
    <w:p w:rsidR="00000000" w:rsidRPr="000B4606" w:rsidP="004C10F3">
      <w:pPr>
        <w:pStyle w:val="BodyText"/>
      </w:pPr>
      <w:r w:rsidRPr="000B4606">
        <w:t xml:space="preserve">This unit primarily requires the application </w:t>
      </w:r>
      <w:r w:rsidRPr="000B4606">
        <w:t>of communication and problem solving skills associated with collecting and analysing information. An ability to analyse energy use of technology or processes will be applied. Initiative and enterprise, and planning and organising are also required to devel</w:t>
      </w:r>
      <w:r w:rsidRPr="000B4606">
        <w:t>op plans for efficient energy use. This unit also requires aspects of self-management and learning to ensure feedback and new learning is integrated into the development of processes.</w:t>
      </w:r>
    </w:p>
    <w:p w:rsidR="00000000" w:rsidRPr="000B4606" w:rsidP="004C10F3">
      <w:pPr>
        <w:pStyle w:val="BodyText"/>
      </w:pPr>
      <w:r w:rsidRPr="000B4606">
        <w:t>No licensing, legislative or certification requirements apply to this u</w:t>
      </w:r>
      <w:r w:rsidRPr="000B4606">
        <w:t>nit at the time of publication.</w:t>
      </w:r>
    </w:p>
    <w:p w:rsidR="00000000" w:rsidRPr="000B4606" w:rsidP="000B4606">
      <w:pPr>
        <w:pStyle w:val="Heading1"/>
      </w:pPr>
      <w:bookmarkStart w:id="3" w:name="O_921525"/>
      <w:bookmarkEnd w:id="3"/>
      <w:r w:rsidRPr="000B4606">
        <w:t>Pre-requisite Unit</w:t>
      </w:r>
    </w:p>
    <w:p w:rsidR="00000000" w:rsidRPr="000B4606" w:rsidP="004C10F3">
      <w:pPr>
        <w:pStyle w:val="BodyText"/>
      </w:pPr>
      <w:r w:rsidRPr="000B4606">
        <w:t>Nil</w:t>
      </w:r>
    </w:p>
    <w:p w:rsidR="00000000" w:rsidRPr="000B4606" w:rsidP="000B4606">
      <w:pPr>
        <w:pStyle w:val="Heading1"/>
      </w:pPr>
      <w:bookmarkStart w:id="4" w:name="O_921524"/>
      <w:bookmarkEnd w:id="4"/>
      <w:r w:rsidRPr="000B4606">
        <w:t>Competency Field</w:t>
      </w:r>
    </w:p>
    <w:p w:rsidR="00000000" w:rsidRPr="000B4606" w:rsidP="004C10F3">
      <w:pPr>
        <w:pStyle w:val="BodyText"/>
      </w:pPr>
      <w:r w:rsidRPr="000B4606">
        <w:t>Competitive systems and practices</w:t>
      </w:r>
    </w:p>
    <w:p w:rsidR="00000000" w:rsidRPr="000B4606" w:rsidP="000B4606">
      <w:pPr>
        <w:pStyle w:val="Heading1"/>
      </w:pPr>
      <w:bookmarkStart w:id="5" w:name="O_921523"/>
      <w:bookmarkEnd w:id="5"/>
      <w:r w:rsidRPr="000B4606">
        <w:t>Unit Sector</w:t>
      </w:r>
    </w:p>
    <w:p w:rsidR="00000000" w:rsidRPr="000B4606" w:rsidP="004C10F3">
      <w:pPr>
        <w:pStyle w:val="BodyText"/>
      </w:pPr>
      <w:r w:rsidRPr="000B4606">
        <w:t>Not applicable</w:t>
      </w:r>
    </w:p>
    <w:p w:rsidR="00000000" w:rsidRPr="000B4606" w:rsidP="000B4606">
      <w:pPr>
        <w:pStyle w:val="Heading1"/>
      </w:pPr>
      <w:bookmarkStart w:id="6" w:name="O_921522"/>
      <w:bookmarkEnd w:id="6"/>
      <w:r w:rsidRPr="000B46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46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Elements describe the</w:t>
            </w:r>
            <w:r w:rsidRPr="000B4606">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Performance criteria describe the performance needed to demonstrate achievement of the element.</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1</w:t>
            </w:r>
          </w:p>
        </w:tc>
        <w:tc>
          <w:tcPr>
            <w:tcW w:w="1962" w:type="dxa"/>
            <w:vMerge w:val="restart"/>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Analyse energy use</w:t>
            </w: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1.1</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Identify all energy consuming processes.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1.2</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quantity and nature of energy consumed.</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1.3</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Analyse energy consumed and generated in different parts of the process.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1.4</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source of energy consumed in process.</w:t>
            </w:r>
          </w:p>
        </w:tc>
      </w:tr>
      <w:tr w:rsidTr="000B46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2</w:t>
            </w:r>
          </w:p>
        </w:tc>
        <w:tc>
          <w:tcPr>
            <w:tcW w:w="1962" w:type="dxa"/>
            <w:vMerge w:val="restart"/>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Develop energy conservation plans</w:t>
            </w: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2.1</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the efficiency of use of energy by all energy consuming processes.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2.2</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causes of low efficiency of use.</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2.3</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Develop plans for increasing the efficiency of energy use.</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2.4</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benefit/cost of plans.</w:t>
            </w:r>
          </w:p>
        </w:tc>
      </w:tr>
      <w:tr w:rsidTr="000B46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3</w:t>
            </w:r>
          </w:p>
        </w:tc>
        <w:tc>
          <w:tcPr>
            <w:tcW w:w="1962" w:type="dxa"/>
            <w:vMerge w:val="restart"/>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Develop energy trading plans</w:t>
            </w: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3.1</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Compare energy generating activities with energy consuming activities.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3.2</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feasibility of energy consuming activities using energy generated by other activities.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3.3</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Develop plans for energy trading.</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3.4</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benefit/cost of plans.</w:t>
            </w:r>
          </w:p>
        </w:tc>
      </w:tr>
      <w:tr w:rsidTr="000B46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4</w:t>
            </w:r>
          </w:p>
        </w:tc>
        <w:tc>
          <w:tcPr>
            <w:tcW w:w="1962" w:type="dxa"/>
            <w:vMerge w:val="restart"/>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Investigate alternative sources of energy</w:t>
            </w: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4.1</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Develop a specification for energy required.</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4.2</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Identify a range of sources for that energy.</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4.3</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Determine benefit/cost for alternative energy sources.</w:t>
            </w:r>
          </w:p>
        </w:tc>
      </w:tr>
      <w:tr w:rsidTr="000B46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5</w:t>
            </w:r>
          </w:p>
        </w:tc>
        <w:tc>
          <w:tcPr>
            <w:tcW w:w="1962" w:type="dxa"/>
            <w:vMerge w:val="restart"/>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 xml:space="preserve">Develop plans for </w:t>
            </w:r>
            <w:r w:rsidRPr="000B4606">
              <w:rPr>
                <w:rStyle w:val="SpecialBold"/>
              </w:rPr>
              <w:t>more effi</w:t>
            </w:r>
            <w:r w:rsidRPr="000B4606">
              <w:rPr>
                <w:rStyle w:val="SpecialBold"/>
              </w:rPr>
              <w:t>cient energy use</w:t>
            </w: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5.1</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 xml:space="preserve">Compare benefit/costs for different alternatives </w:t>
            </w:r>
            <w:r w:rsidRPr="000B4606">
              <w:t>developed.</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5.2</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Rank proposals based on benefit/cost compare to limited resources.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5.3</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Check proposals meet regulatory requirements.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5.4</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Recommend proposals for improving energy efficiency.</w:t>
            </w:r>
          </w:p>
        </w:tc>
      </w:tr>
      <w:tr w:rsidTr="000B46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6</w:t>
            </w:r>
          </w:p>
        </w:tc>
        <w:tc>
          <w:tcPr>
            <w:tcW w:w="1962" w:type="dxa"/>
            <w:vMerge w:val="restart"/>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Implement selected plans</w:t>
            </w: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6.1</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Liaise with relevant people to implement energy efficiency plans.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6.2</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Follow through to ensure implementation occurs.</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6.3</w:t>
            </w:r>
          </w:p>
        </w:tc>
        <w:tc>
          <w:tcPr>
            <w:tcW w:w="561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Monitor implementation and make adjustments, as required.</w:t>
            </w:r>
          </w:p>
        </w:tc>
      </w:tr>
      <w:tr w:rsidTr="000B46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6.4</w:t>
            </w:r>
          </w:p>
        </w:tc>
        <w:tc>
          <w:tcPr>
            <w:tcW w:w="5610" w:type="dxa"/>
            <w:tcBorders>
              <w:top w:val="nil"/>
              <w:left w:val="nil"/>
              <w:bottom w:val="nil"/>
              <w:right w:val="nil"/>
            </w:tcBorders>
            <w:tcMar>
              <w:top w:w="0" w:type="dxa"/>
              <w:left w:w="62" w:type="dxa"/>
              <w:bottom w:w="0" w:type="dxa"/>
              <w:right w:w="62" w:type="dxa"/>
            </w:tcMar>
          </w:tcPr>
          <w:p w:rsidR="00000000" w:rsidRPr="000B4606" w:rsidP="000B4606">
            <w:pPr>
              <w:pStyle w:val="BodyText"/>
            </w:pPr>
            <w:r w:rsidRPr="000B4606">
              <w:t>Check new energy usage to ensure improvements have occurred.</w:t>
            </w:r>
          </w:p>
        </w:tc>
      </w:tr>
    </w:tbl>
    <w:p w:rsidR="00000000" w:rsidRPr="000B4606" w:rsidP="000B4606">
      <w:pPr>
        <w:pStyle w:val="BodyText"/>
      </w:pPr>
    </w:p>
    <w:p w:rsidR="00000000" w:rsidRPr="000B4606" w:rsidP="000B4606">
      <w:pPr>
        <w:pStyle w:val="AllowPageBreak"/>
      </w:pPr>
    </w:p>
    <w:p w:rsidR="00000000" w:rsidRPr="000B4606" w:rsidP="000B4606">
      <w:pPr>
        <w:pStyle w:val="Heading1"/>
      </w:pPr>
      <w:bookmarkStart w:id="7" w:name="O_921521"/>
      <w:bookmarkEnd w:id="7"/>
      <w:r w:rsidRPr="000B4606">
        <w:t>Foundation Skills</w:t>
      </w:r>
    </w:p>
    <w:p w:rsidR="00000000" w:rsidRPr="000B4606" w:rsidP="004C10F3">
      <w:pPr>
        <w:pStyle w:val="BodyText"/>
      </w:pPr>
      <w:r w:rsidRPr="000B4606">
        <w:t>This section describes those required skills (language, literacy and numeracy) that are essen</w:t>
      </w:r>
      <w:r w:rsidRPr="000B4606">
        <w:t>tial to performance.</w:t>
      </w:r>
    </w:p>
    <w:p w:rsidR="00000000" w:rsidRPr="000B4606" w:rsidP="004C10F3">
      <w:pPr>
        <w:pStyle w:val="BodyText"/>
      </w:pPr>
      <w:r w:rsidRPr="000B4606">
        <w:t>Foundation skills essential to performance are explicit in the performance criteria of this unit of competency.</w:t>
      </w:r>
    </w:p>
    <w:p w:rsidR="00000000" w:rsidRPr="000B4606" w:rsidP="000B4606">
      <w:pPr>
        <w:pStyle w:val="Heading1"/>
      </w:pPr>
      <w:bookmarkStart w:id="8" w:name="O_921520"/>
      <w:bookmarkEnd w:id="8"/>
      <w:r w:rsidRPr="000B4606">
        <w:t>Range of Conditions</w:t>
      </w:r>
    </w:p>
    <w:tbl>
      <w:tblPr>
        <w:tblW w:w="0" w:type="auto"/>
        <w:tblLayout w:type="fixed"/>
        <w:tblCellMar>
          <w:left w:w="62" w:type="dxa"/>
          <w:right w:w="62" w:type="dxa"/>
        </w:tblCellMar>
        <w:tblLook w:val="0000"/>
      </w:tblPr>
      <w:tblGrid>
        <w:gridCol w:w="2227"/>
        <w:gridCol w:w="6845"/>
      </w:tblGrid>
      <w:tr w:rsidTr="000B46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t>This field allows for different work environments and conditions that may affect perf</w:t>
            </w:r>
            <w:r w:rsidRPr="000B4606">
              <w:t>ormance. Essential operating conditions that may be present (depending on the work situation, needs of the candidate, accessibility of the item, and local industry and regional contexts) are included.</w:t>
            </w:r>
          </w:p>
        </w:tc>
      </w:tr>
      <w:tr w:rsidTr="000B4606">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Competitive systems and practices include one or more of:</w:t>
            </w:r>
          </w:p>
        </w:tc>
        <w:tc>
          <w:tcPr>
            <w:tcW w:w="6845" w:type="dxa"/>
            <w:tcBorders>
              <w:top w:val="nil"/>
              <w:left w:val="nil"/>
              <w:bottom w:val="nil"/>
              <w:right w:val="nil"/>
            </w:tcBorders>
            <w:tcMar>
              <w:top w:w="0" w:type="dxa"/>
              <w:left w:w="62" w:type="dxa"/>
              <w:bottom w:w="0" w:type="dxa"/>
              <w:right w:w="62" w:type="dxa"/>
            </w:tcMar>
          </w:tcPr>
          <w:p w:rsidR="00000000" w:rsidRPr="000B4606" w:rsidP="000B4606">
            <w:pPr>
              <w:pStyle w:val="ListBullet"/>
            </w:pPr>
            <w:r w:rsidRPr="000B4606">
              <w:t>lean operations</w:t>
            </w:r>
          </w:p>
          <w:p w:rsidR="00000000" w:rsidRPr="000B4606" w:rsidP="000B4606">
            <w:pPr>
              <w:pStyle w:val="ListBullet"/>
            </w:pPr>
            <w:r w:rsidRPr="000B4606">
              <w:t>agile operations</w:t>
            </w:r>
          </w:p>
          <w:p w:rsidR="00000000" w:rsidRPr="000B4606" w:rsidP="000B4606">
            <w:pPr>
              <w:pStyle w:val="ListBullet"/>
            </w:pPr>
            <w:r w:rsidRPr="000B4606">
              <w:t>preventative and predictive maintenance approaches</w:t>
            </w:r>
          </w:p>
          <w:p w:rsidR="00000000" w:rsidRPr="000B4606" w:rsidP="000B4606">
            <w:pPr>
              <w:pStyle w:val="ListBullet"/>
            </w:pPr>
            <w:r w:rsidRPr="000B4606">
              <w:t>statistical process control systems, including six sigma and three sigma</w:t>
            </w:r>
          </w:p>
          <w:p w:rsidR="00000000" w:rsidRPr="000B4606" w:rsidP="000B4606">
            <w:pPr>
              <w:pStyle w:val="ListBullet"/>
            </w:pPr>
            <w:r w:rsidRPr="000B4606">
              <w:t>Just in Time (JIT), kanban and other pul</w:t>
            </w:r>
            <w:r w:rsidRPr="000B4606">
              <w:t>l-related operations control systems</w:t>
            </w:r>
          </w:p>
          <w:p w:rsidR="00000000" w:rsidRPr="000B4606" w:rsidP="000B4606">
            <w:pPr>
              <w:pStyle w:val="ListBullet"/>
            </w:pPr>
            <w:r w:rsidRPr="000B4606">
              <w:t>supply, value, and demand chain monitoring and analysis</w:t>
            </w:r>
          </w:p>
          <w:p w:rsidR="00000000" w:rsidRPr="000B4606" w:rsidP="000B4606">
            <w:pPr>
              <w:pStyle w:val="ListBullet"/>
            </w:pPr>
            <w:r w:rsidRPr="000B4606">
              <w:t xml:space="preserve">5S </w:t>
            </w:r>
          </w:p>
          <w:p w:rsidR="00000000" w:rsidRPr="000B4606" w:rsidP="000B4606">
            <w:pPr>
              <w:pStyle w:val="ListBullet"/>
            </w:pPr>
            <w:r w:rsidRPr="000B4606">
              <w:t>continuous improvement (kaizen)</w:t>
            </w:r>
          </w:p>
          <w:p w:rsidR="00000000" w:rsidRPr="000B4606" w:rsidP="000B4606">
            <w:pPr>
              <w:pStyle w:val="ListBullet"/>
            </w:pPr>
            <w:r w:rsidRPr="000B4606">
              <w:t>breakthrough improvement (kaizen blitz)</w:t>
            </w:r>
          </w:p>
          <w:p w:rsidR="00000000" w:rsidRPr="000B4606" w:rsidP="000B4606">
            <w:pPr>
              <w:pStyle w:val="ListBullet"/>
            </w:pPr>
            <w:r w:rsidRPr="000B4606">
              <w:t>cause/effect diagrams</w:t>
            </w:r>
          </w:p>
          <w:p w:rsidR="00000000" w:rsidRPr="000B4606" w:rsidP="000B4606">
            <w:pPr>
              <w:pStyle w:val="ListBullet"/>
            </w:pPr>
            <w:r w:rsidRPr="000B4606">
              <w:t>overall equipment effectiveness (OEE)</w:t>
            </w:r>
          </w:p>
          <w:p w:rsidR="00000000" w:rsidRPr="000B4606" w:rsidP="000B4606">
            <w:pPr>
              <w:pStyle w:val="ListBullet"/>
            </w:pPr>
            <w:r w:rsidRPr="000B4606">
              <w:t>takt time</w:t>
            </w:r>
          </w:p>
          <w:p w:rsidR="00000000" w:rsidRPr="000B4606" w:rsidP="000B4606">
            <w:pPr>
              <w:pStyle w:val="ListBullet"/>
            </w:pPr>
            <w:r w:rsidRPr="000B4606">
              <w:t>process mapping</w:t>
            </w:r>
          </w:p>
          <w:p w:rsidR="00000000" w:rsidRPr="000B4606" w:rsidP="000B4606">
            <w:pPr>
              <w:pStyle w:val="ListBullet"/>
            </w:pPr>
            <w:r w:rsidRPr="000B4606">
              <w:t>p</w:t>
            </w:r>
            <w:r w:rsidRPr="000B4606">
              <w:t xml:space="preserve">roblem solving </w:t>
            </w:r>
          </w:p>
          <w:p w:rsidR="00000000" w:rsidRPr="000B4606" w:rsidP="000B4606">
            <w:pPr>
              <w:pStyle w:val="ListBullet"/>
            </w:pPr>
            <w:r w:rsidRPr="000B4606">
              <w:t>run charts</w:t>
            </w:r>
          </w:p>
          <w:p w:rsidR="00000000" w:rsidRPr="000B4606" w:rsidP="000B4606">
            <w:pPr>
              <w:pStyle w:val="ListBullet"/>
            </w:pPr>
            <w:r w:rsidRPr="000B4606">
              <w:t>standard procedures</w:t>
            </w:r>
          </w:p>
          <w:p w:rsidR="00000000" w:rsidRPr="000B4606" w:rsidP="000B4606">
            <w:pPr>
              <w:pStyle w:val="ListBullet"/>
            </w:pPr>
            <w:r w:rsidRPr="000B4606">
              <w:t>current reality tree.</w:t>
            </w:r>
          </w:p>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Muda includes all of:</w:t>
            </w:r>
          </w:p>
        </w:tc>
        <w:tc>
          <w:tcPr>
            <w:tcW w:w="6845" w:type="dxa"/>
            <w:tcBorders>
              <w:top w:val="nil"/>
              <w:left w:val="nil"/>
              <w:bottom w:val="nil"/>
              <w:right w:val="nil"/>
            </w:tcBorders>
            <w:tcMar>
              <w:top w:w="0" w:type="dxa"/>
              <w:left w:w="62" w:type="dxa"/>
              <w:bottom w:w="0" w:type="dxa"/>
              <w:right w:w="62" w:type="dxa"/>
            </w:tcMar>
          </w:tcPr>
          <w:p w:rsidR="00000000" w:rsidRPr="000B4606" w:rsidP="000B4606">
            <w:pPr>
              <w:pStyle w:val="ListBullet"/>
            </w:pPr>
            <w:r w:rsidRPr="000B4606">
              <w:t>excess production and early production</w:t>
            </w:r>
          </w:p>
          <w:p w:rsidR="00000000" w:rsidRPr="000B4606" w:rsidP="000B4606">
            <w:pPr>
              <w:pStyle w:val="ListBullet"/>
            </w:pPr>
            <w:r w:rsidRPr="000B4606">
              <w:t>delays</w:t>
            </w:r>
          </w:p>
          <w:p w:rsidR="00000000" w:rsidRPr="000B4606" w:rsidP="000B4606">
            <w:pPr>
              <w:pStyle w:val="ListBullet"/>
            </w:pPr>
            <w:r w:rsidRPr="000B4606">
              <w:t>movement and transport</w:t>
            </w:r>
          </w:p>
          <w:p w:rsidR="00000000" w:rsidRPr="000B4606" w:rsidP="000B4606">
            <w:pPr>
              <w:pStyle w:val="ListBullet"/>
            </w:pPr>
            <w:r w:rsidRPr="000B4606">
              <w:t>poor process design</w:t>
            </w:r>
          </w:p>
          <w:p w:rsidR="00000000" w:rsidRPr="000B4606" w:rsidP="000B4606">
            <w:pPr>
              <w:pStyle w:val="ListBullet"/>
            </w:pPr>
            <w:r w:rsidRPr="000B4606">
              <w:t>inventory</w:t>
            </w:r>
          </w:p>
          <w:p w:rsidR="00000000" w:rsidRPr="000B4606" w:rsidP="000B4606">
            <w:pPr>
              <w:pStyle w:val="ListBullet"/>
            </w:pPr>
            <w:r w:rsidRPr="000B4606">
              <w:t>inefficient performance of a process</w:t>
            </w:r>
          </w:p>
          <w:p w:rsidR="00000000" w:rsidRPr="000B4606" w:rsidP="000B4606">
            <w:pPr>
              <w:pStyle w:val="ListBullet"/>
            </w:pPr>
            <w:r w:rsidRPr="000B4606">
              <w:t>making defective items</w:t>
            </w:r>
          </w:p>
          <w:p w:rsidR="00000000" w:rsidRPr="000B4606" w:rsidP="000B4606">
            <w:pPr>
              <w:pStyle w:val="ListBullet"/>
            </w:pPr>
            <w:r w:rsidRPr="000B4606">
              <w:t>activities which do not yield any benefit to the organisation or any benefit to the organisations customers.</w:t>
            </w:r>
          </w:p>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Necessary muda includes all of:</w:t>
            </w:r>
          </w:p>
        </w:tc>
        <w:tc>
          <w:tcPr>
            <w:tcW w:w="6845" w:type="dxa"/>
            <w:tcBorders>
              <w:top w:val="nil"/>
              <w:left w:val="nil"/>
              <w:bottom w:val="nil"/>
              <w:right w:val="nil"/>
            </w:tcBorders>
            <w:tcMar>
              <w:top w:w="0" w:type="dxa"/>
              <w:left w:w="62" w:type="dxa"/>
              <w:bottom w:w="0" w:type="dxa"/>
              <w:right w:w="62" w:type="dxa"/>
            </w:tcMar>
          </w:tcPr>
          <w:p w:rsidR="00000000" w:rsidRPr="000B4606" w:rsidP="000B4606">
            <w:pPr>
              <w:pStyle w:val="ListBullet"/>
            </w:pPr>
            <w:r w:rsidRPr="000B4606">
              <w:t>an activity or cost which does contribute directly to customer benefit/feature in the product</w:t>
            </w:r>
          </w:p>
          <w:p w:rsidR="00000000" w:rsidRPr="000B4606" w:rsidP="000B4606">
            <w:pPr>
              <w:pStyle w:val="ListBullet"/>
            </w:pPr>
            <w:r w:rsidRPr="000B4606">
              <w:t xml:space="preserve">an activity or cost which cannot be avoided (e.g. regulatory compliance and fixed costs). </w:t>
            </w:r>
          </w:p>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Unnecessary muda includes all of:</w:t>
            </w:r>
          </w:p>
        </w:tc>
        <w:tc>
          <w:tcPr>
            <w:tcW w:w="6845" w:type="dxa"/>
            <w:tcBorders>
              <w:top w:val="nil"/>
              <w:left w:val="nil"/>
              <w:bottom w:val="nil"/>
              <w:right w:val="nil"/>
            </w:tcBorders>
            <w:tcMar>
              <w:top w:w="0" w:type="dxa"/>
              <w:left w:w="62" w:type="dxa"/>
              <w:bottom w:w="0" w:type="dxa"/>
              <w:right w:w="62" w:type="dxa"/>
            </w:tcMar>
          </w:tcPr>
          <w:p w:rsidR="00000000" w:rsidRPr="000B4606" w:rsidP="000B4606">
            <w:pPr>
              <w:pStyle w:val="ListBullet"/>
            </w:pPr>
            <w:r w:rsidRPr="000B4606">
              <w:t xml:space="preserve">an activity or cost which does not contribute directly to customer benefit/features in the product </w:t>
            </w:r>
          </w:p>
          <w:p w:rsidR="00000000" w:rsidRPr="000B4606" w:rsidP="000B4606">
            <w:pPr>
              <w:pStyle w:val="ListBullet"/>
            </w:pPr>
            <w:r w:rsidRPr="000B4606">
              <w:t>an activity or cost which ca</w:t>
            </w:r>
            <w:r w:rsidRPr="000B4606">
              <w:t xml:space="preserve">n be avoided. </w:t>
            </w:r>
          </w:p>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Sources and use of energy includes one or more of:</w:t>
            </w:r>
          </w:p>
        </w:tc>
        <w:tc>
          <w:tcPr>
            <w:tcW w:w="6845" w:type="dxa"/>
            <w:tcBorders>
              <w:top w:val="nil"/>
              <w:left w:val="nil"/>
              <w:bottom w:val="nil"/>
              <w:right w:val="nil"/>
            </w:tcBorders>
            <w:tcMar>
              <w:top w:w="0" w:type="dxa"/>
              <w:left w:w="62" w:type="dxa"/>
              <w:bottom w:w="0" w:type="dxa"/>
              <w:right w:w="62" w:type="dxa"/>
            </w:tcMar>
          </w:tcPr>
          <w:p w:rsidR="00000000" w:rsidRPr="000B4606" w:rsidP="000B4606">
            <w:pPr>
              <w:pStyle w:val="ListBullet"/>
            </w:pPr>
            <w:r w:rsidRPr="000B4606">
              <w:t>all sources of energy used by the process be it electricity, gas/oil/coal or mobile transport fuel</w:t>
            </w:r>
          </w:p>
          <w:p w:rsidR="00000000" w:rsidRPr="000B4606" w:rsidP="000B4606">
            <w:pPr>
              <w:pStyle w:val="ListBullet"/>
            </w:pPr>
            <w:r w:rsidRPr="000B4606">
              <w:t>used for heating and cooling</w:t>
            </w:r>
          </w:p>
          <w:p w:rsidR="00000000" w:rsidRPr="000B4606" w:rsidP="000B4606">
            <w:pPr>
              <w:pStyle w:val="ListBullet"/>
            </w:pPr>
            <w:r w:rsidRPr="000B4606">
              <w:t>used for moving materials (e.g. pumps and conveyors)</w:t>
            </w:r>
          </w:p>
          <w:p w:rsidR="00000000" w:rsidRPr="000B4606" w:rsidP="000B4606">
            <w:pPr>
              <w:pStyle w:val="ListBullet"/>
            </w:pPr>
            <w:r w:rsidRPr="000B4606">
              <w:t>used for modifying materials (e.g. cutting, forming, weaving, knitting, reacting, moulding, extruding and mixing)</w:t>
            </w:r>
          </w:p>
          <w:p w:rsidR="00000000" w:rsidRPr="000B4606" w:rsidP="000B4606">
            <w:pPr>
              <w:pStyle w:val="ListBullet"/>
            </w:pPr>
            <w:r w:rsidRPr="000B4606">
              <w:t>used for generating pressure/vacuum or providing motive power for equipment and transport.</w:t>
            </w:r>
          </w:p>
          <w:p w:rsidR="00000000" w:rsidP="000B4606">
            <w:pPr>
              <w:pStyle w:val="BodyText"/>
              <w:rPr>
                <w:lang w:val="en-NZ"/>
              </w:rPr>
            </w:pPr>
          </w:p>
        </w:tc>
      </w:tr>
      <w:tr w:rsidTr="000B4606">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0B4606">
            <w:pPr>
              <w:pStyle w:val="BodyText"/>
              <w:rPr>
                <w:lang w:val="en-NZ"/>
              </w:rPr>
            </w:pPr>
            <w:r w:rsidRPr="000B4606">
              <w:rPr>
                <w:rStyle w:val="SpecialBold"/>
              </w:rPr>
              <w:t>Energy trading includes one or more of:</w:t>
            </w:r>
          </w:p>
        </w:tc>
        <w:tc>
          <w:tcPr>
            <w:tcW w:w="6845" w:type="dxa"/>
            <w:tcBorders>
              <w:top w:val="nil"/>
              <w:left w:val="nil"/>
              <w:bottom w:val="nil"/>
              <w:right w:val="nil"/>
            </w:tcBorders>
            <w:tcMar>
              <w:top w:w="0" w:type="dxa"/>
              <w:left w:w="62" w:type="dxa"/>
              <w:bottom w:w="0" w:type="dxa"/>
              <w:right w:w="62" w:type="dxa"/>
            </w:tcMar>
          </w:tcPr>
          <w:p w:rsidR="00000000" w:rsidRPr="000B4606" w:rsidP="000B4606">
            <w:pPr>
              <w:pStyle w:val="ListBullet"/>
            </w:pPr>
            <w:r w:rsidRPr="000B4606">
              <w:t>formal trading, such as buying of energy through alternative suppliers and tender processes and selling of excess energy produced by the organisation to energy companies or other producers</w:t>
            </w:r>
          </w:p>
          <w:p w:rsidR="00000000" w:rsidRPr="000B4606" w:rsidP="000B4606">
            <w:pPr>
              <w:pStyle w:val="ListBullet"/>
            </w:pPr>
            <w:r w:rsidRPr="000B4606">
              <w:t>internal trading of excess energy from one area to an energy consum</w:t>
            </w:r>
            <w:r w:rsidRPr="000B4606">
              <w:t>ing area elsewhere in the organisation.</w:t>
            </w:r>
          </w:p>
          <w:p w:rsidR="00000000" w:rsidRPr="000B4606" w:rsidP="000B4606">
            <w:pPr>
              <w:pStyle w:val="BodyText"/>
            </w:pPr>
          </w:p>
        </w:tc>
      </w:tr>
    </w:tbl>
    <w:p w:rsidR="00000000" w:rsidRPr="000B4606" w:rsidP="000B4606">
      <w:pPr>
        <w:pStyle w:val="BodyText"/>
      </w:pPr>
    </w:p>
    <w:p w:rsidR="00000000" w:rsidRPr="000B4606" w:rsidP="000B4606">
      <w:pPr>
        <w:pStyle w:val="AllowPageBreak"/>
      </w:pPr>
    </w:p>
    <w:p w:rsidR="00000000" w:rsidRPr="000B4606" w:rsidP="000B4606">
      <w:pPr>
        <w:pStyle w:val="Heading1"/>
      </w:pPr>
      <w:bookmarkStart w:id="9" w:name="O_921519"/>
      <w:bookmarkEnd w:id="9"/>
      <w:r w:rsidRPr="000B4606">
        <w:t>Unit Mapping Information</w:t>
      </w:r>
    </w:p>
    <w:p w:rsidR="00000000" w:rsidRPr="000B4606" w:rsidP="004C10F3">
      <w:pPr>
        <w:pStyle w:val="BodyText"/>
      </w:pPr>
      <w:r w:rsidRPr="000B4606">
        <w:t>Release 1. Supersedes and is equivalent to MSS405070A Develop and manage sustainable energy practices</w:t>
      </w:r>
    </w:p>
    <w:p w:rsidR="00000000" w:rsidRPr="000B4606" w:rsidP="000B4606">
      <w:pPr>
        <w:pStyle w:val="Heading1"/>
      </w:pPr>
      <w:bookmarkStart w:id="10" w:name="O_921512"/>
      <w:bookmarkEnd w:id="10"/>
      <w:r w:rsidRPr="000B4606">
        <w:t>Links</w:t>
      </w:r>
    </w:p>
    <w:p w:rsidR="00000000" w:rsidRPr="000B4606" w:rsidP="004C10F3">
      <w:pPr>
        <w:pStyle w:val="BodyText"/>
      </w:pPr>
      <w:r w:rsidRPr="000B4606">
        <w:t>Companion Volume implementation guides are fou</w:t>
      </w:r>
      <w:r w:rsidRPr="000B4606">
        <w:t xml:space="preserve">nd in VETNet - </w:t>
      </w:r>
      <w:r>
        <w:fldChar w:fldCharType="begin"/>
      </w:r>
      <w:r>
        <w:instrText xml:space="preserve"> HYPERLINK "https://vetnet.education.gov.au/Pages/TrainingDocs.aspx?q=5b04f318-804f-4dc0-9463-c3fb9a3fe998" </w:instrText>
      </w:r>
      <w:r>
        <w:fldChar w:fldCharType="separate"/>
      </w:r>
      <w:r w:rsidRPr="00DB73E3">
        <w:rPr>
          <w:rStyle w:val="Hyperlink"/>
        </w:rPr>
        <w:t>https://vetnet.education.gov.au/Pages/TrainingDocs.aspx?q=5b04f318-804f-4dc0-9463-c3fb9a3fe998</w:t>
      </w:r>
      <w:r>
        <w:fldChar w:fldCharType="end"/>
      </w:r>
    </w:p>
    <w:p w:rsidR="00000000" w:rsidRPr="000B4606" w:rsidP="000B4606"/>
    <w:sectPr w:rsidSect="000B4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06" w:rsidRPr="004C10F3" w:rsidP="004C1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3" w:rsidP="000B4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10F3" w:rsidP="000B460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10F3" w:rsidP="000B4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606" w:rsidRPr="004C10F3" w:rsidP="004C1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3" w:rsidRPr="002D2AF8" w:rsidP="000B4606">
    <w:pPr>
      <w:pStyle w:val="Header"/>
      <w:framePr w:wrap="around"/>
    </w:pPr>
    <w:r>
      <w:fldChar w:fldCharType="begin"/>
    </w:r>
    <w:r>
      <w:instrText xml:space="preserve"> TITLE   \* MERGEFORMAT </w:instrText>
    </w:r>
    <w:r>
      <w:fldChar w:fldCharType="separate"/>
    </w:r>
    <w:r>
      <w:t>MSS405070 Develop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4C10F3" w:rsidP="000B4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26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0A8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606"/>
    <w:pPr>
      <w:spacing w:before="360" w:after="60"/>
      <w:outlineLvl w:val="0"/>
    </w:pPr>
    <w:rPr>
      <w:sz w:val="32"/>
    </w:rPr>
  </w:style>
  <w:style w:type="paragraph" w:styleId="Heading2">
    <w:name w:val="heading 2"/>
    <w:basedOn w:val="HeadingBase"/>
    <w:next w:val="BodyText"/>
    <w:link w:val="Heading2Char"/>
    <w:qFormat/>
    <w:rsid w:val="000B4606"/>
    <w:pPr>
      <w:keepLines/>
      <w:spacing w:before="240" w:after="120"/>
      <w:outlineLvl w:val="1"/>
    </w:pPr>
    <w:rPr>
      <w:sz w:val="28"/>
      <w:szCs w:val="40"/>
    </w:rPr>
  </w:style>
  <w:style w:type="paragraph" w:styleId="Heading3">
    <w:name w:val="heading 3"/>
    <w:basedOn w:val="HeadingBase"/>
    <w:next w:val="BodyText"/>
    <w:link w:val="Heading3Char"/>
    <w:qFormat/>
    <w:rsid w:val="000B4606"/>
    <w:pPr>
      <w:spacing w:before="180" w:after="120"/>
      <w:outlineLvl w:val="2"/>
    </w:pPr>
    <w:rPr>
      <w:spacing w:val="-10"/>
      <w:kern w:val="32"/>
    </w:rPr>
  </w:style>
  <w:style w:type="paragraph" w:styleId="Heading4">
    <w:name w:val="heading 4"/>
    <w:basedOn w:val="HeadingBase"/>
    <w:next w:val="BodyText"/>
    <w:link w:val="Heading4Char"/>
    <w:qFormat/>
    <w:rsid w:val="000B4606"/>
    <w:pPr>
      <w:spacing w:before="160" w:after="120"/>
      <w:outlineLvl w:val="3"/>
    </w:pPr>
    <w:rPr>
      <w:sz w:val="22"/>
    </w:rPr>
  </w:style>
  <w:style w:type="paragraph" w:styleId="Heading5">
    <w:name w:val="heading 5"/>
    <w:basedOn w:val="HeadingBase"/>
    <w:next w:val="Normal"/>
    <w:link w:val="Heading5Char"/>
    <w:qFormat/>
    <w:rsid w:val="000B4606"/>
    <w:pPr>
      <w:spacing w:before="80"/>
      <w:outlineLvl w:val="4"/>
    </w:pPr>
    <w:rPr>
      <w:color w:val="918585"/>
      <w:sz w:val="20"/>
    </w:rPr>
  </w:style>
  <w:style w:type="paragraph" w:styleId="Heading6">
    <w:name w:val="heading 6"/>
    <w:basedOn w:val="HeadingBase"/>
    <w:next w:val="Normal"/>
    <w:link w:val="Heading6Char"/>
    <w:qFormat/>
    <w:rsid w:val="000B4606"/>
    <w:pPr>
      <w:spacing w:before="60"/>
      <w:outlineLvl w:val="5"/>
    </w:pPr>
    <w:rPr>
      <w:color w:val="918585"/>
      <w:sz w:val="20"/>
    </w:rPr>
  </w:style>
  <w:style w:type="paragraph" w:styleId="Heading7">
    <w:name w:val="heading 7"/>
    <w:basedOn w:val="Normal"/>
    <w:next w:val="Normal"/>
    <w:link w:val="Heading7Char"/>
    <w:qFormat/>
    <w:rsid w:val="000B4606"/>
    <w:pPr>
      <w:ind w:left="720"/>
      <w:outlineLvl w:val="6"/>
    </w:pPr>
    <w:rPr>
      <w:i/>
    </w:rPr>
  </w:style>
  <w:style w:type="paragraph" w:styleId="Heading8">
    <w:name w:val="heading 8"/>
    <w:basedOn w:val="Normal"/>
    <w:next w:val="Normal"/>
    <w:link w:val="Heading8Char"/>
    <w:qFormat/>
    <w:rsid w:val="000B4606"/>
    <w:pPr>
      <w:ind w:left="720"/>
      <w:outlineLvl w:val="7"/>
    </w:pPr>
    <w:rPr>
      <w:i/>
    </w:rPr>
  </w:style>
  <w:style w:type="paragraph" w:styleId="Heading9">
    <w:name w:val="heading 9"/>
    <w:basedOn w:val="Normal"/>
    <w:next w:val="Normal"/>
    <w:link w:val="Heading9Char"/>
    <w:qFormat/>
    <w:rsid w:val="000B4606"/>
    <w:pPr>
      <w:ind w:left="720"/>
      <w:outlineLvl w:val="8"/>
    </w:pPr>
    <w:rPr>
      <w:i/>
    </w:rPr>
  </w:style>
  <w:style w:type="character" w:default="1" w:styleId="DefaultParagraphFont">
    <w:name w:val="Default Paragraph Font"/>
    <w:uiPriority w:val="1"/>
    <w:unhideWhenUsed/>
    <w:rsid w:val="000B4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606"/>
  </w:style>
  <w:style w:type="character" w:customStyle="1" w:styleId="Heading1Char">
    <w:name w:val="Heading 1 Char"/>
    <w:basedOn w:val="DefaultParagraphFont"/>
    <w:link w:val="Heading1"/>
    <w:rsid w:val="000B4606"/>
    <w:rPr>
      <w:rFonts w:ascii="Times New Roman" w:eastAsia="Times New Roman" w:hAnsi="Times New Roman" w:cs="Times New Roman"/>
      <w:b/>
      <w:sz w:val="32"/>
      <w:szCs w:val="20"/>
      <w:lang w:eastAsia="en-US"/>
    </w:rPr>
  </w:style>
  <w:style w:type="paragraph" w:styleId="BodyText">
    <w:name w:val="Body Text"/>
    <w:basedOn w:val="Normal"/>
    <w:link w:val="BodyTextChar"/>
    <w:rsid w:val="000B4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606"/>
    <w:rPr>
      <w:rFonts w:ascii="Times New Roman" w:eastAsia="Times New Roman" w:hAnsi="Times New Roman" w:cs="Times New Roman"/>
      <w:sz w:val="24"/>
      <w:lang w:eastAsia="en-US"/>
    </w:rPr>
  </w:style>
  <w:style w:type="paragraph" w:styleId="ListBullet">
    <w:name w:val="List Bullet"/>
    <w:basedOn w:val="List"/>
    <w:rsid w:val="000B4606"/>
    <w:pPr>
      <w:numPr>
        <w:numId w:val="12"/>
      </w:numPr>
      <w:tabs>
        <w:tab w:val="clear" w:pos="340"/>
      </w:tabs>
      <w:spacing w:before="40" w:after="40"/>
    </w:pPr>
  </w:style>
  <w:style w:type="character" w:customStyle="1" w:styleId="SpecialBold">
    <w:name w:val="Special Bold"/>
    <w:basedOn w:val="DefaultParagraphFont"/>
    <w:rsid w:val="000B4606"/>
    <w:rPr>
      <w:b/>
      <w:spacing w:val="0"/>
    </w:rPr>
  </w:style>
  <w:style w:type="paragraph" w:customStyle="1" w:styleId="SuperHeading">
    <w:name w:val="SuperHeading"/>
    <w:basedOn w:val="Normal"/>
    <w:rsid w:val="000B4606"/>
    <w:pPr>
      <w:spacing w:before="240" w:after="120"/>
      <w:outlineLvl w:val="0"/>
    </w:pPr>
    <w:rPr>
      <w:rFonts w:ascii="Times New Roman" w:hAnsi="Times New Roman"/>
      <w:b/>
      <w:sz w:val="32"/>
    </w:rPr>
  </w:style>
  <w:style w:type="paragraph" w:customStyle="1" w:styleId="AllowPageBreak">
    <w:name w:val="AllowPageBreak"/>
    <w:rsid w:val="000B4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606"/>
    <w:rPr>
      <w:rFonts w:ascii="Courier New" w:eastAsia="Times New Roman" w:hAnsi="Courier New" w:cs="Times New Roman"/>
      <w:i/>
      <w:szCs w:val="20"/>
      <w:lang w:eastAsia="en-US"/>
    </w:rPr>
  </w:style>
  <w:style w:type="paragraph" w:customStyle="1" w:styleId="HeadingBase">
    <w:name w:val="Heading Base"/>
    <w:rsid w:val="000B4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606"/>
    <w:pPr>
      <w:tabs>
        <w:tab w:val="right" w:leader="dot" w:pos="9072"/>
      </w:tabs>
      <w:ind w:left="567"/>
    </w:pPr>
    <w:rPr>
      <w:szCs w:val="22"/>
    </w:rPr>
  </w:style>
  <w:style w:type="paragraph" w:customStyle="1" w:styleId="TOCBase">
    <w:name w:val="TOC Base"/>
    <w:rsid w:val="000B4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606"/>
    <w:pPr>
      <w:tabs>
        <w:tab w:val="right" w:leader="dot" w:pos="9072"/>
      </w:tabs>
      <w:spacing w:before="40" w:after="40"/>
      <w:ind w:left="284"/>
    </w:pPr>
    <w:rPr>
      <w:rFonts w:ascii="Times New Roman" w:hAnsi="Times New Roman"/>
    </w:rPr>
  </w:style>
  <w:style w:type="paragraph" w:styleId="TOC1">
    <w:name w:val="toc 1"/>
    <w:basedOn w:val="TOCBase"/>
    <w:next w:val="Normal"/>
    <w:rsid w:val="000B4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606"/>
    <w:rPr>
      <w:rFonts w:ascii="Times New Roman" w:eastAsia="Times New Roman" w:hAnsi="Times New Roman" w:cs="Times New Roman"/>
      <w:sz w:val="16"/>
      <w:lang w:eastAsia="en-US"/>
    </w:rPr>
  </w:style>
  <w:style w:type="paragraph" w:styleId="Title">
    <w:name w:val="Title"/>
    <w:basedOn w:val="HeadingBase"/>
    <w:link w:val="TitleChar"/>
    <w:qFormat/>
    <w:rsid w:val="000B4606"/>
    <w:pPr>
      <w:spacing w:before="5040"/>
      <w:jc w:val="center"/>
    </w:pPr>
    <w:rPr>
      <w:sz w:val="48"/>
      <w:szCs w:val="72"/>
      <w:lang w:val="en-US"/>
    </w:rPr>
  </w:style>
  <w:style w:type="character" w:customStyle="1" w:styleId="TitleChar">
    <w:name w:val="Title Char"/>
    <w:basedOn w:val="DefaultParagraphFont"/>
    <w:link w:val="Title"/>
    <w:rsid w:val="000B4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606"/>
    <w:pPr>
      <w:tabs>
        <w:tab w:val="left" w:pos="3600"/>
        <w:tab w:val="left" w:pos="3958"/>
      </w:tabs>
    </w:pPr>
  </w:style>
  <w:style w:type="paragraph" w:styleId="List">
    <w:name w:val="List"/>
    <w:basedOn w:val="BodyText"/>
    <w:next w:val="BodyText"/>
    <w:rsid w:val="000B4606"/>
    <w:pPr>
      <w:tabs>
        <w:tab w:val="left" w:pos="340"/>
      </w:tabs>
      <w:spacing w:before="60" w:after="60"/>
      <w:ind w:left="340" w:hanging="340"/>
    </w:pPr>
  </w:style>
  <w:style w:type="paragraph" w:customStyle="1" w:styleId="Note">
    <w:name w:val="Note"/>
    <w:basedOn w:val="BodyText"/>
    <w:rsid w:val="000B4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606"/>
    <w:pPr>
      <w:framePr w:wrap="auto" w:hAnchor="text" w:y="6049"/>
    </w:pPr>
    <w:rPr>
      <w:color w:val="000000"/>
      <w:sz w:val="40"/>
    </w:rPr>
  </w:style>
  <w:style w:type="paragraph" w:customStyle="1" w:styleId="TOCTitle">
    <w:name w:val="TOCTitle"/>
    <w:basedOn w:val="Heading1"/>
    <w:rsid w:val="000B4606"/>
    <w:pPr>
      <w:spacing w:after="240"/>
      <w:jc w:val="center"/>
      <w:outlineLvl w:val="9"/>
    </w:pPr>
    <w:rPr>
      <w:caps/>
    </w:rPr>
  </w:style>
  <w:style w:type="paragraph" w:customStyle="1" w:styleId="Version">
    <w:name w:val="Version"/>
    <w:rsid w:val="000B46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606"/>
    <w:pPr>
      <w:numPr>
        <w:numId w:val="13"/>
      </w:numPr>
      <w:tabs>
        <w:tab w:val="clear" w:pos="680"/>
      </w:tabs>
    </w:pPr>
  </w:style>
  <w:style w:type="paragraph" w:styleId="Index1">
    <w:name w:val="index 1"/>
    <w:basedOn w:val="Normal"/>
    <w:next w:val="Normal"/>
    <w:semiHidden/>
    <w:rsid w:val="000B4606"/>
    <w:pPr>
      <w:keepNext w:val="0"/>
      <w:tabs>
        <w:tab w:val="right" w:pos="4176"/>
      </w:tabs>
      <w:ind w:left="198" w:hanging="198"/>
    </w:pPr>
    <w:rPr>
      <w:rFonts w:ascii="Garamond" w:hAnsi="Garamond"/>
    </w:rPr>
  </w:style>
  <w:style w:type="paragraph" w:styleId="IndexHeading">
    <w:name w:val="index heading"/>
    <w:basedOn w:val="Normal"/>
    <w:next w:val="Index1"/>
    <w:semiHidden/>
    <w:rsid w:val="000B4606"/>
    <w:pPr>
      <w:spacing w:before="120" w:after="120"/>
    </w:pPr>
    <w:rPr>
      <w:rFonts w:ascii="Arial" w:hAnsi="Arial"/>
      <w:b/>
      <w:color w:val="918585"/>
      <w:sz w:val="24"/>
    </w:rPr>
  </w:style>
  <w:style w:type="paragraph" w:styleId="Header">
    <w:name w:val="header"/>
    <w:basedOn w:val="Normal"/>
    <w:link w:val="HeaderChar"/>
    <w:rsid w:val="000B4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606"/>
    <w:rPr>
      <w:rFonts w:ascii="Times New Roman" w:eastAsia="Times New Roman" w:hAnsi="Times New Roman" w:cs="Times New Roman"/>
      <w:sz w:val="16"/>
      <w:szCs w:val="20"/>
      <w:lang w:val="en-GB" w:eastAsia="en-US"/>
    </w:rPr>
  </w:style>
  <w:style w:type="paragraph" w:customStyle="1" w:styleId="Chapter">
    <w:name w:val="Chapter"/>
    <w:basedOn w:val="Normal"/>
    <w:rsid w:val="000B4606"/>
    <w:pPr>
      <w:spacing w:before="240"/>
    </w:pPr>
    <w:rPr>
      <w:rFonts w:ascii="Times New Roman" w:hAnsi="Times New Roman"/>
      <w:smallCaps/>
      <w:spacing w:val="80"/>
      <w:sz w:val="28"/>
    </w:rPr>
  </w:style>
  <w:style w:type="paragraph" w:customStyle="1" w:styleId="InChapter">
    <w:name w:val="InChapter"/>
    <w:basedOn w:val="Heading3"/>
    <w:rsid w:val="000B4606"/>
    <w:pPr>
      <w:spacing w:after="240"/>
      <w:outlineLvl w:val="9"/>
    </w:pPr>
    <w:rPr>
      <w:noProof/>
    </w:rPr>
  </w:style>
  <w:style w:type="paragraph" w:styleId="Index2">
    <w:name w:val="index 2"/>
    <w:basedOn w:val="Normal"/>
    <w:next w:val="Normal"/>
    <w:semiHidden/>
    <w:rsid w:val="000B4606"/>
    <w:pPr>
      <w:tabs>
        <w:tab w:val="right" w:pos="4176"/>
      </w:tabs>
      <w:ind w:left="568" w:hanging="284"/>
    </w:pPr>
    <w:rPr>
      <w:rFonts w:ascii="Garamond" w:hAnsi="Garamond"/>
    </w:rPr>
  </w:style>
  <w:style w:type="paragraph" w:customStyle="1" w:styleId="Byline">
    <w:name w:val="Byline"/>
    <w:rsid w:val="000B4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606"/>
    <w:pPr>
      <w:tabs>
        <w:tab w:val="clear" w:pos="3600"/>
        <w:tab w:val="clear" w:pos="3958"/>
      </w:tabs>
      <w:jc w:val="right"/>
    </w:pPr>
  </w:style>
  <w:style w:type="character" w:styleId="Emphasis">
    <w:name w:val="Emphasis"/>
    <w:basedOn w:val="DefaultParagraphFont"/>
    <w:qFormat/>
    <w:rsid w:val="000B4606"/>
    <w:rPr>
      <w:i/>
    </w:rPr>
  </w:style>
  <w:style w:type="paragraph" w:styleId="Caption">
    <w:name w:val="caption"/>
    <w:basedOn w:val="BodyText"/>
    <w:next w:val="Normal"/>
    <w:qFormat/>
    <w:rsid w:val="000B4606"/>
    <w:pPr>
      <w:framePr w:w="2268" w:hSpace="181" w:vSpace="181" w:wrap="around" w:vAnchor="text" w:hAnchor="page" w:x="1135" w:y="285" w:anchorLock="1"/>
    </w:pPr>
    <w:rPr>
      <w:i/>
    </w:rPr>
  </w:style>
  <w:style w:type="paragraph" w:customStyle="1" w:styleId="MiniTOCTitle">
    <w:name w:val="MiniTOCTitle"/>
    <w:basedOn w:val="Heading4"/>
    <w:rsid w:val="000B4606"/>
    <w:pPr>
      <w:spacing w:before="240"/>
      <w:outlineLvl w:val="9"/>
    </w:pPr>
    <w:rPr>
      <w:noProof/>
      <w:sz w:val="24"/>
    </w:rPr>
  </w:style>
  <w:style w:type="paragraph" w:customStyle="1" w:styleId="MiniTOCItem">
    <w:name w:val="MiniTOCItem"/>
    <w:basedOn w:val="ListBullet"/>
    <w:rsid w:val="000B4606"/>
    <w:pPr>
      <w:numPr>
        <w:numId w:val="0"/>
      </w:numPr>
      <w:tabs>
        <w:tab w:val="right" w:leader="dot" w:pos="6521"/>
      </w:tabs>
      <w:spacing w:before="0" w:after="0"/>
    </w:pPr>
  </w:style>
  <w:style w:type="paragraph" w:customStyle="1" w:styleId="TOFTitle">
    <w:name w:val="TOFTitle"/>
    <w:basedOn w:val="TOCTitle"/>
    <w:rsid w:val="000B4606"/>
  </w:style>
  <w:style w:type="paragraph" w:styleId="TableofFigures">
    <w:name w:val="table of figures"/>
    <w:basedOn w:val="Normal"/>
    <w:next w:val="Normal"/>
    <w:semiHidden/>
    <w:rsid w:val="000B4606"/>
    <w:pPr>
      <w:tabs>
        <w:tab w:val="right" w:leader="dot" w:pos="9072"/>
      </w:tabs>
      <w:ind w:left="970" w:hanging="403"/>
    </w:pPr>
    <w:rPr>
      <w:rFonts w:ascii="Times New Roman" w:hAnsi="Times New Roman"/>
      <w:b/>
    </w:rPr>
  </w:style>
  <w:style w:type="paragraph" w:styleId="ListNumber">
    <w:name w:val="List Number"/>
    <w:basedOn w:val="List"/>
    <w:rsid w:val="000B4606"/>
    <w:pPr>
      <w:numPr>
        <w:numId w:val="10"/>
      </w:numPr>
    </w:pPr>
  </w:style>
  <w:style w:type="character" w:customStyle="1" w:styleId="WingdingSymbols">
    <w:name w:val="Wingding Symbols"/>
    <w:rsid w:val="000B4606"/>
    <w:rPr>
      <w:rFonts w:ascii="Wingdings" w:hAnsi="Wingdings"/>
    </w:rPr>
  </w:style>
  <w:style w:type="paragraph" w:customStyle="1" w:styleId="TableHeading">
    <w:name w:val="Table Heading"/>
    <w:basedOn w:val="HeadingBase"/>
    <w:rsid w:val="000B4606"/>
    <w:pPr>
      <w:keepLines/>
      <w:pBdr>
        <w:bottom w:val="single" w:sz="6" w:space="1" w:color="918585"/>
      </w:pBdr>
      <w:spacing w:before="240"/>
    </w:pPr>
  </w:style>
  <w:style w:type="character" w:customStyle="1" w:styleId="HotSpot">
    <w:name w:val="HotSpot"/>
    <w:rsid w:val="000B4606"/>
    <w:rPr>
      <w:color w:val="0033CC"/>
      <w:u w:val="none"/>
    </w:rPr>
  </w:style>
  <w:style w:type="paragraph" w:customStyle="1" w:styleId="BodyTextRight">
    <w:name w:val="Body Text Right"/>
    <w:basedOn w:val="BodyText"/>
    <w:rsid w:val="000B4606"/>
    <w:pPr>
      <w:spacing w:before="0" w:after="0"/>
      <w:jc w:val="right"/>
    </w:pPr>
  </w:style>
  <w:style w:type="paragraph" w:styleId="Index3">
    <w:name w:val="index 3"/>
    <w:basedOn w:val="ListNumber2"/>
    <w:next w:val="Normal"/>
    <w:semiHidden/>
    <w:rsid w:val="000B4606"/>
    <w:pPr>
      <w:numPr>
        <w:numId w:val="0"/>
      </w:numPr>
      <w:tabs>
        <w:tab w:val="right" w:leader="dot" w:pos="4176"/>
      </w:tabs>
    </w:pPr>
  </w:style>
  <w:style w:type="paragraph" w:styleId="ListNumber2">
    <w:name w:val="List Number 2"/>
    <w:basedOn w:val="List2"/>
    <w:rsid w:val="000B4606"/>
    <w:pPr>
      <w:numPr>
        <w:numId w:val="9"/>
      </w:numPr>
      <w:tabs>
        <w:tab w:val="clear" w:pos="1060"/>
      </w:tabs>
    </w:pPr>
  </w:style>
  <w:style w:type="paragraph" w:customStyle="1" w:styleId="MarginNote">
    <w:name w:val="Margin Note"/>
    <w:basedOn w:val="BodyText"/>
    <w:rsid w:val="000B4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606"/>
    <w:rPr>
      <w:sz w:val="32"/>
    </w:rPr>
  </w:style>
  <w:style w:type="paragraph" w:customStyle="1" w:styleId="HeadingProcedure">
    <w:name w:val="Heading Procedure"/>
    <w:basedOn w:val="HeadingBase"/>
    <w:next w:val="Normal"/>
    <w:rsid w:val="000B4606"/>
    <w:pPr>
      <w:tabs>
        <w:tab w:val="left" w:pos="0"/>
      </w:tabs>
      <w:spacing w:before="120" w:after="60"/>
    </w:pPr>
    <w:rPr>
      <w:i/>
      <w:color w:val="918585"/>
      <w:sz w:val="22"/>
    </w:rPr>
  </w:style>
  <w:style w:type="paragraph" w:customStyle="1" w:styleId="TableBodyText">
    <w:name w:val="Table Body Text"/>
    <w:basedOn w:val="BodyText"/>
    <w:rsid w:val="000B4606"/>
    <w:pPr>
      <w:spacing w:before="60" w:after="60"/>
    </w:pPr>
  </w:style>
  <w:style w:type="paragraph" w:styleId="ListContinue">
    <w:name w:val="List Continue"/>
    <w:basedOn w:val="List"/>
    <w:rsid w:val="000B4606"/>
    <w:pPr>
      <w:ind w:firstLine="0"/>
    </w:pPr>
  </w:style>
  <w:style w:type="paragraph" w:customStyle="1" w:styleId="ListNote">
    <w:name w:val="List Note"/>
    <w:basedOn w:val="List"/>
    <w:rsid w:val="000B4606"/>
    <w:pPr>
      <w:pBdr>
        <w:top w:val="single" w:sz="6" w:space="2" w:color="918585"/>
        <w:bottom w:val="single" w:sz="6" w:space="2" w:color="918585"/>
      </w:pBdr>
      <w:tabs>
        <w:tab w:val="left" w:pos="1021"/>
      </w:tabs>
      <w:ind w:firstLine="0"/>
    </w:pPr>
  </w:style>
  <w:style w:type="paragraph" w:customStyle="1" w:styleId="Warning">
    <w:name w:val="Warning"/>
    <w:basedOn w:val="BodyText"/>
    <w:rsid w:val="000B4606"/>
    <w:pPr>
      <w:shd w:val="clear" w:color="auto" w:fill="D9D9D9"/>
      <w:tabs>
        <w:tab w:val="left" w:pos="992"/>
      </w:tabs>
      <w:ind w:left="119" w:right="119"/>
    </w:pPr>
    <w:rPr>
      <w:sz w:val="20"/>
    </w:rPr>
  </w:style>
  <w:style w:type="paragraph" w:customStyle="1" w:styleId="MarginIcons">
    <w:name w:val="Margin Icons"/>
    <w:basedOn w:val="BodyText"/>
    <w:rsid w:val="000B4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606"/>
    <w:rPr>
      <w:rFonts w:ascii="Courier New" w:hAnsi="Courier New"/>
    </w:rPr>
  </w:style>
  <w:style w:type="paragraph" w:customStyle="1" w:styleId="NoteBullet">
    <w:name w:val="Note Bullet"/>
    <w:basedOn w:val="Note"/>
    <w:rsid w:val="000B4606"/>
    <w:pPr>
      <w:tabs>
        <w:tab w:val="clear" w:pos="680"/>
      </w:tabs>
      <w:spacing w:before="60" w:after="60"/>
    </w:pPr>
  </w:style>
  <w:style w:type="paragraph" w:customStyle="1" w:styleId="SubHeading2">
    <w:name w:val="SubHeading2"/>
    <w:basedOn w:val="HeadingBase"/>
    <w:rsid w:val="000B4606"/>
    <w:pPr>
      <w:spacing w:before="240" w:after="60"/>
    </w:pPr>
    <w:rPr>
      <w:sz w:val="20"/>
    </w:rPr>
  </w:style>
  <w:style w:type="paragraph" w:customStyle="1" w:styleId="SubHeading1">
    <w:name w:val="SubHeading1"/>
    <w:basedOn w:val="HeadingBase"/>
    <w:rsid w:val="000B4606"/>
    <w:pPr>
      <w:spacing w:before="240" w:after="60"/>
    </w:pPr>
    <w:rPr>
      <w:color w:val="918585"/>
      <w:sz w:val="22"/>
    </w:rPr>
  </w:style>
  <w:style w:type="paragraph" w:customStyle="1" w:styleId="SideHeading">
    <w:name w:val="Side Heading"/>
    <w:basedOn w:val="HeadingBase"/>
    <w:rsid w:val="000B4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606"/>
    <w:pPr>
      <w:tabs>
        <w:tab w:val="num" w:pos="360"/>
      </w:tabs>
    </w:pPr>
  </w:style>
  <w:style w:type="paragraph" w:styleId="PlainText">
    <w:name w:val="Plain Text"/>
    <w:basedOn w:val="Normal"/>
    <w:link w:val="PlainTextChar"/>
    <w:rsid w:val="000B4606"/>
    <w:rPr>
      <w:sz w:val="20"/>
    </w:rPr>
  </w:style>
  <w:style w:type="character" w:customStyle="1" w:styleId="PlainTextChar">
    <w:name w:val="Plain Text Char"/>
    <w:basedOn w:val="DefaultParagraphFont"/>
    <w:link w:val="PlainText"/>
    <w:rsid w:val="000B4606"/>
    <w:rPr>
      <w:rFonts w:ascii="Courier New" w:eastAsia="Times New Roman" w:hAnsi="Courier New" w:cs="Times New Roman"/>
      <w:sz w:val="20"/>
      <w:szCs w:val="20"/>
      <w:lang w:eastAsia="en-US"/>
    </w:rPr>
  </w:style>
  <w:style w:type="character" w:customStyle="1" w:styleId="MenuOption">
    <w:name w:val="Menu Option"/>
    <w:basedOn w:val="DefaultParagraphFont"/>
    <w:rsid w:val="000B4606"/>
    <w:rPr>
      <w:b/>
      <w:smallCaps/>
    </w:rPr>
  </w:style>
  <w:style w:type="paragraph" w:customStyle="1" w:styleId="TableListNumber">
    <w:name w:val="Table List Number"/>
    <w:basedOn w:val="ListNumber"/>
    <w:rsid w:val="000B4606"/>
    <w:pPr>
      <w:numPr>
        <w:numId w:val="0"/>
      </w:numPr>
    </w:pPr>
  </w:style>
  <w:style w:type="paragraph" w:styleId="TOC4">
    <w:name w:val="toc 4"/>
    <w:basedOn w:val="TOCBase"/>
    <w:next w:val="Normal"/>
    <w:semiHidden/>
    <w:rsid w:val="000B4606"/>
    <w:pPr>
      <w:tabs>
        <w:tab w:val="right" w:leader="dot" w:pos="9071"/>
      </w:tabs>
      <w:ind w:left="1701"/>
    </w:pPr>
  </w:style>
  <w:style w:type="paragraph" w:customStyle="1" w:styleId="ListAlpha">
    <w:name w:val="List Alpha"/>
    <w:basedOn w:val="List"/>
    <w:rsid w:val="000B4606"/>
    <w:pPr>
      <w:numPr>
        <w:numId w:val="8"/>
      </w:numPr>
    </w:pPr>
  </w:style>
  <w:style w:type="paragraph" w:customStyle="1" w:styleId="ListAlpha2">
    <w:name w:val="List Alpha 2"/>
    <w:basedOn w:val="List2"/>
    <w:rsid w:val="000B4606"/>
    <w:pPr>
      <w:numPr>
        <w:numId w:val="7"/>
      </w:numPr>
    </w:pPr>
  </w:style>
  <w:style w:type="paragraph" w:styleId="List2">
    <w:name w:val="List 2"/>
    <w:basedOn w:val="BodyText"/>
    <w:rsid w:val="000B4606"/>
    <w:pPr>
      <w:tabs>
        <w:tab w:val="left" w:pos="680"/>
      </w:tabs>
      <w:spacing w:before="60" w:after="60"/>
      <w:ind w:left="680" w:hanging="340"/>
    </w:pPr>
  </w:style>
  <w:style w:type="paragraph" w:styleId="List3">
    <w:name w:val="List 3"/>
    <w:basedOn w:val="BodyText"/>
    <w:rsid w:val="000B4606"/>
    <w:pPr>
      <w:tabs>
        <w:tab w:val="left" w:pos="1021"/>
      </w:tabs>
      <w:spacing w:before="60" w:after="60"/>
      <w:ind w:left="1020" w:hanging="340"/>
    </w:pPr>
  </w:style>
  <w:style w:type="paragraph" w:styleId="List4">
    <w:name w:val="List 4"/>
    <w:basedOn w:val="BodyText"/>
    <w:rsid w:val="000B4606"/>
    <w:pPr>
      <w:tabs>
        <w:tab w:val="left" w:pos="1361"/>
      </w:tabs>
      <w:spacing w:before="60" w:after="60"/>
      <w:ind w:left="1361" w:hanging="340"/>
    </w:pPr>
  </w:style>
  <w:style w:type="paragraph" w:styleId="List5">
    <w:name w:val="List 5"/>
    <w:basedOn w:val="BodyText"/>
    <w:rsid w:val="000B4606"/>
    <w:pPr>
      <w:tabs>
        <w:tab w:val="left" w:pos="1701"/>
      </w:tabs>
      <w:spacing w:before="60" w:after="60"/>
      <w:ind w:left="1701" w:hanging="340"/>
    </w:pPr>
  </w:style>
  <w:style w:type="paragraph" w:styleId="ListBullet3">
    <w:name w:val="List Bullet 3"/>
    <w:basedOn w:val="List3"/>
    <w:rsid w:val="000B4606"/>
    <w:pPr>
      <w:numPr>
        <w:numId w:val="14"/>
      </w:numPr>
      <w:tabs>
        <w:tab w:val="clear" w:pos="1021"/>
      </w:tabs>
      <w:ind w:left="1037" w:hanging="357"/>
    </w:pPr>
  </w:style>
  <w:style w:type="paragraph" w:styleId="ListBullet4">
    <w:name w:val="List Bullet 4"/>
    <w:basedOn w:val="List4"/>
    <w:rsid w:val="000B4606"/>
    <w:pPr>
      <w:numPr>
        <w:numId w:val="2"/>
      </w:numPr>
      <w:tabs>
        <w:tab w:val="clear" w:pos="1361"/>
      </w:tabs>
    </w:pPr>
  </w:style>
  <w:style w:type="paragraph" w:styleId="ListBullet5">
    <w:name w:val="List Bullet 5"/>
    <w:basedOn w:val="List5"/>
    <w:rsid w:val="000B4606"/>
    <w:pPr>
      <w:numPr>
        <w:numId w:val="3"/>
      </w:numPr>
    </w:pPr>
  </w:style>
  <w:style w:type="paragraph" w:styleId="ListContinue2">
    <w:name w:val="List Continue 2"/>
    <w:basedOn w:val="List2"/>
    <w:rsid w:val="000B4606"/>
    <w:pPr>
      <w:ind w:firstLine="0"/>
    </w:pPr>
  </w:style>
  <w:style w:type="paragraph" w:styleId="ListContinue3">
    <w:name w:val="List Continue 3"/>
    <w:basedOn w:val="List3"/>
    <w:rsid w:val="000B4606"/>
    <w:pPr>
      <w:ind w:left="1021" w:firstLine="0"/>
    </w:pPr>
  </w:style>
  <w:style w:type="paragraph" w:styleId="ListContinue4">
    <w:name w:val="List Continue 4"/>
    <w:basedOn w:val="List4"/>
    <w:rsid w:val="000B4606"/>
    <w:pPr>
      <w:ind w:firstLine="0"/>
    </w:pPr>
  </w:style>
  <w:style w:type="paragraph" w:styleId="ListContinue5">
    <w:name w:val="List Continue 5"/>
    <w:basedOn w:val="List5"/>
    <w:rsid w:val="000B4606"/>
    <w:pPr>
      <w:ind w:firstLine="0"/>
    </w:pPr>
  </w:style>
  <w:style w:type="paragraph" w:styleId="ListNumber3">
    <w:name w:val="List Number 3"/>
    <w:basedOn w:val="List3"/>
    <w:rsid w:val="000B4606"/>
    <w:pPr>
      <w:numPr>
        <w:numId w:val="4"/>
      </w:numPr>
    </w:pPr>
  </w:style>
  <w:style w:type="paragraph" w:styleId="ListNumber4">
    <w:name w:val="List Number 4"/>
    <w:basedOn w:val="List4"/>
    <w:rsid w:val="000B4606"/>
    <w:pPr>
      <w:numPr>
        <w:numId w:val="5"/>
      </w:numPr>
    </w:pPr>
  </w:style>
  <w:style w:type="paragraph" w:styleId="ListNumber5">
    <w:name w:val="List Number 5"/>
    <w:basedOn w:val="List5"/>
    <w:rsid w:val="000B4606"/>
    <w:pPr>
      <w:numPr>
        <w:numId w:val="6"/>
      </w:numPr>
    </w:pPr>
  </w:style>
  <w:style w:type="paragraph" w:styleId="BlockText">
    <w:name w:val="Block Text"/>
    <w:basedOn w:val="Normal"/>
    <w:rsid w:val="000B4606"/>
    <w:pPr>
      <w:spacing w:after="120"/>
      <w:ind w:left="1440" w:right="1440"/>
    </w:pPr>
  </w:style>
  <w:style w:type="character" w:customStyle="1" w:styleId="Subscript">
    <w:name w:val="Subscript"/>
    <w:basedOn w:val="DefaultParagraphFont"/>
    <w:rsid w:val="000B4606"/>
    <w:rPr>
      <w:sz w:val="16"/>
      <w:vertAlign w:val="subscript"/>
    </w:rPr>
  </w:style>
  <w:style w:type="character" w:customStyle="1" w:styleId="Superscript">
    <w:name w:val="Superscript"/>
    <w:basedOn w:val="DefaultParagraphFont"/>
    <w:rsid w:val="000B4606"/>
    <w:rPr>
      <w:sz w:val="16"/>
      <w:vertAlign w:val="superscript"/>
    </w:rPr>
  </w:style>
  <w:style w:type="character" w:customStyle="1" w:styleId="Symbols">
    <w:name w:val="Symbols"/>
    <w:basedOn w:val="DefaultParagraphFont"/>
    <w:rsid w:val="000B4606"/>
    <w:rPr>
      <w:rFonts w:ascii="Symbol" w:hAnsi="Symbol"/>
    </w:rPr>
  </w:style>
  <w:style w:type="character" w:customStyle="1" w:styleId="MenuOptions">
    <w:name w:val="Menu Options"/>
    <w:basedOn w:val="DefaultParagraphFont"/>
    <w:rsid w:val="000B4606"/>
    <w:rPr>
      <w:rFonts w:ascii="Arial Narrow" w:hAnsi="Arial Narrow"/>
      <w:smallCaps/>
    </w:rPr>
  </w:style>
  <w:style w:type="character" w:customStyle="1" w:styleId="Buttons">
    <w:name w:val="Buttons"/>
    <w:basedOn w:val="DefaultParagraphFont"/>
    <w:rsid w:val="000B4606"/>
    <w:rPr>
      <w:b/>
    </w:rPr>
  </w:style>
  <w:style w:type="character" w:customStyle="1" w:styleId="Underlined">
    <w:name w:val="Underlined"/>
    <w:basedOn w:val="DefaultParagraphFont"/>
    <w:rsid w:val="000B4606"/>
    <w:rPr>
      <w:u w:val="single"/>
    </w:rPr>
  </w:style>
  <w:style w:type="paragraph" w:customStyle="1" w:styleId="TableBodyTextRight">
    <w:name w:val="Table Body Text Right"/>
    <w:basedOn w:val="TableBodyText"/>
    <w:rsid w:val="000B4606"/>
    <w:pPr>
      <w:widowControl w:val="0"/>
      <w:autoSpaceDE w:val="0"/>
      <w:autoSpaceDN w:val="0"/>
      <w:adjustRightInd w:val="0"/>
      <w:jc w:val="right"/>
    </w:pPr>
    <w:rPr>
      <w:rFonts w:cs="Arial"/>
      <w:szCs w:val="18"/>
    </w:rPr>
  </w:style>
  <w:style w:type="paragraph" w:customStyle="1" w:styleId="CopyrightText">
    <w:name w:val="Copyright Text"/>
    <w:basedOn w:val="BodyText"/>
    <w:rsid w:val="000B4606"/>
    <w:rPr>
      <w:sz w:val="18"/>
    </w:rPr>
  </w:style>
  <w:style w:type="paragraph" w:customStyle="1" w:styleId="BodySmallRight">
    <w:name w:val="Body Small Right"/>
    <w:basedOn w:val="BodyTextRight"/>
    <w:rsid w:val="000B4606"/>
    <w:rPr>
      <w:sz w:val="18"/>
      <w:szCs w:val="18"/>
    </w:rPr>
  </w:style>
  <w:style w:type="paragraph" w:customStyle="1" w:styleId="MarginEdition">
    <w:name w:val="Margin Edition"/>
    <w:basedOn w:val="MarginNote"/>
    <w:rsid w:val="000B4606"/>
    <w:pPr>
      <w:spacing w:before="0" w:after="0"/>
    </w:pPr>
    <w:rPr>
      <w:rFonts w:ascii="Times New Roman" w:hAnsi="Times New Roman"/>
      <w:color w:val="999999"/>
    </w:rPr>
  </w:style>
  <w:style w:type="paragraph" w:customStyle="1" w:styleId="Spacer">
    <w:name w:val="Spacer"/>
    <w:basedOn w:val="Normal"/>
    <w:rsid w:val="000B4606"/>
    <w:rPr>
      <w:sz w:val="2"/>
      <w:szCs w:val="2"/>
    </w:rPr>
  </w:style>
  <w:style w:type="character" w:customStyle="1" w:styleId="Small">
    <w:name w:val="Small"/>
    <w:basedOn w:val="DefaultParagraphFont"/>
    <w:rsid w:val="000B4606"/>
    <w:rPr>
      <w:sz w:val="16"/>
    </w:rPr>
  </w:style>
  <w:style w:type="paragraph" w:customStyle="1" w:styleId="WideTable">
    <w:name w:val="Wide Table"/>
    <w:basedOn w:val="Normal"/>
    <w:rsid w:val="000B4606"/>
    <w:pPr>
      <w:ind w:left="-1418"/>
    </w:pPr>
    <w:rPr>
      <w:sz w:val="2"/>
      <w:szCs w:val="2"/>
    </w:rPr>
  </w:style>
  <w:style w:type="character" w:styleId="PageNumber">
    <w:name w:val="page number"/>
    <w:basedOn w:val="DefaultParagraphFont"/>
    <w:rsid w:val="000B4606"/>
  </w:style>
  <w:style w:type="paragraph" w:styleId="Quote">
    <w:name w:val="Quote"/>
    <w:basedOn w:val="Heading1"/>
    <w:link w:val="QuoteChar"/>
    <w:qFormat/>
    <w:rsid w:val="000B4606"/>
    <w:rPr>
      <w:b w:val="0"/>
      <w:sz w:val="72"/>
      <w:szCs w:val="72"/>
      <w:lang w:val="en-NZ"/>
    </w:rPr>
  </w:style>
  <w:style w:type="character" w:customStyle="1" w:styleId="QuoteChar">
    <w:name w:val="Quote Char"/>
    <w:basedOn w:val="DefaultParagraphFont"/>
    <w:link w:val="Quote"/>
    <w:rsid w:val="000B4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606"/>
    <w:pPr>
      <w:pageBreakBefore/>
    </w:pPr>
  </w:style>
  <w:style w:type="paragraph" w:customStyle="1" w:styleId="Border">
    <w:name w:val="Border"/>
    <w:basedOn w:val="Normal"/>
    <w:qFormat/>
    <w:rsid w:val="000B4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606"/>
    <w:rPr>
      <w:b/>
      <w:bCs/>
      <w:i/>
      <w:iCs/>
      <w:color w:val="auto"/>
    </w:rPr>
  </w:style>
  <w:style w:type="paragraph" w:styleId="IntenseQuote">
    <w:name w:val="Intense Quote"/>
    <w:basedOn w:val="Normal"/>
    <w:next w:val="Normal"/>
    <w:link w:val="IntenseQuoteChar"/>
    <w:uiPriority w:val="30"/>
    <w:qFormat/>
    <w:rsid w:val="000B4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606"/>
    <w:rPr>
      <w:smallCaps/>
      <w:color w:val="auto"/>
      <w:u w:val="single"/>
    </w:rPr>
  </w:style>
  <w:style w:type="character" w:styleId="IntenseReference">
    <w:name w:val="Intense Reference"/>
    <w:basedOn w:val="DefaultParagraphFont"/>
    <w:uiPriority w:val="32"/>
    <w:qFormat/>
    <w:rsid w:val="000B4606"/>
    <w:rPr>
      <w:b/>
      <w:bCs/>
      <w:smallCaps/>
      <w:color w:val="auto"/>
      <w:spacing w:val="5"/>
      <w:u w:val="single"/>
    </w:rPr>
  </w:style>
  <w:style w:type="paragraph" w:customStyle="1" w:styleId="2ColumnHeading">
    <w:name w:val="2Column Heading"/>
    <w:basedOn w:val="BodyText"/>
    <w:qFormat/>
    <w:rsid w:val="000B4606"/>
    <w:pPr>
      <w:spacing w:after="60"/>
      <w:ind w:left="-2268"/>
    </w:pPr>
    <w:rPr>
      <w:b/>
    </w:rPr>
  </w:style>
  <w:style w:type="paragraph" w:customStyle="1" w:styleId="Heading1TOC">
    <w:name w:val="Heading1 TOC"/>
    <w:basedOn w:val="Normal"/>
    <w:qFormat/>
    <w:rsid w:val="000B4606"/>
    <w:pPr>
      <w:spacing w:before="240" w:after="120"/>
    </w:pPr>
    <w:rPr>
      <w:rFonts w:ascii="Times New Roman" w:hAnsi="Times New Roman"/>
      <w:b/>
      <w:sz w:val="32"/>
    </w:rPr>
  </w:style>
  <w:style w:type="paragraph" w:customStyle="1" w:styleId="Heading2TOC">
    <w:name w:val="Heading2 TOC"/>
    <w:basedOn w:val="Normal"/>
    <w:qFormat/>
    <w:rsid w:val="000B4606"/>
    <w:pPr>
      <w:spacing w:before="240" w:after="60"/>
    </w:pPr>
    <w:rPr>
      <w:rFonts w:ascii="Times New Roman" w:hAnsi="Times New Roman"/>
      <w:b/>
      <w:sz w:val="28"/>
    </w:rPr>
  </w:style>
  <w:style w:type="character" w:customStyle="1" w:styleId="Underline">
    <w:name w:val="Underline"/>
    <w:basedOn w:val="DefaultParagraphFont"/>
    <w:qFormat/>
    <w:rsid w:val="000B4606"/>
    <w:rPr>
      <w:u w:val="single"/>
    </w:rPr>
  </w:style>
  <w:style w:type="character" w:customStyle="1" w:styleId="BoldandItalics">
    <w:name w:val="Bold and Italics"/>
    <w:qFormat/>
    <w:rsid w:val="000B4606"/>
    <w:rPr>
      <w:b/>
      <w:i/>
      <w:u w:val="none"/>
    </w:rPr>
  </w:style>
  <w:style w:type="paragraph" w:styleId="BalloonText">
    <w:name w:val="Balloon Text"/>
    <w:basedOn w:val="Normal"/>
    <w:link w:val="BalloonTextChar"/>
    <w:rsid w:val="000B4606"/>
    <w:rPr>
      <w:rFonts w:ascii="Tahoma" w:hAnsi="Tahoma" w:cs="Tahoma"/>
      <w:sz w:val="16"/>
      <w:szCs w:val="16"/>
    </w:rPr>
  </w:style>
  <w:style w:type="character" w:customStyle="1" w:styleId="BalloonTextChar">
    <w:name w:val="Balloon Text Char"/>
    <w:basedOn w:val="DefaultParagraphFont"/>
    <w:link w:val="BalloonText"/>
    <w:rsid w:val="000B4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606"/>
    <w:rPr>
      <w:b/>
      <w:color w:val="660033"/>
      <w:spacing w:val="0"/>
    </w:rPr>
  </w:style>
  <w:style w:type="paragraph" w:customStyle="1" w:styleId="Nameditemlist">
    <w:name w:val="Named item list"/>
    <w:basedOn w:val="BodyText"/>
    <w:qFormat/>
    <w:rsid w:val="000B4606"/>
    <w:pPr>
      <w:tabs>
        <w:tab w:val="left" w:pos="2835"/>
      </w:tabs>
      <w:ind w:left="2835" w:hanging="2835"/>
    </w:pPr>
  </w:style>
  <w:style w:type="paragraph" w:customStyle="1" w:styleId="BodyTextnopadding">
    <w:name w:val="Body Text no padding"/>
    <w:basedOn w:val="BodyText"/>
    <w:qFormat/>
    <w:rsid w:val="000B4606"/>
    <w:pPr>
      <w:spacing w:before="0" w:after="0"/>
    </w:pPr>
  </w:style>
  <w:style w:type="character" w:styleId="Hyperlink">
    <w:name w:val="Hyperlink"/>
    <w:basedOn w:val="DefaultParagraphFont"/>
    <w:uiPriority w:val="99"/>
    <w:unhideWhenUsed/>
    <w:rsid w:val="004C1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5705</Characters>
  <Application>Microsoft Office Word</Application>
  <DocSecurity>0</DocSecurity>
  <Lines>271</Lines>
  <Paragraphs>153</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MSS405070 Develop sustainable energy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2018-12-18T04:49:00Z</dcterms:created>
  <dcterms:modified xsi:type="dcterms:W3CDTF">2018-12-18T04:49:00Z</dcterms:modified>
</cp:coreProperties>
</file>