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2DB" w:rsidP="005A1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MSS405064 Determine and establish information collection requirements and processes</w:t>
      </w:r>
      <w:r>
        <w:fldChar w:fldCharType="end"/>
      </w:r>
    </w:p>
    <w:p w:rsidR="005A12DB" w:rsidP="005A12DB">
      <w:pPr>
        <w:pStyle w:val="Version"/>
        <w:sectPr w:rsidSect="00FA2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A88" w:rsidP="00FA2A88">
      <w:pPr>
        <w:pStyle w:val="SuperHeading"/>
      </w:pPr>
      <w:r w:rsidRPr="00FA2A88">
        <w:t>MSS405064 Det</w:t>
      </w:r>
      <w:r w:rsidRPr="00FA2A88">
        <w:t>ermine and establish information collection requirements and processes</w:t>
      </w:r>
    </w:p>
    <w:p w:rsidR="00000000" w:rsidRPr="00FA2A88" w:rsidP="00FA2A88">
      <w:pPr>
        <w:pStyle w:val="Heading1"/>
      </w:pPr>
      <w:bookmarkStart w:id="1" w:name="O_1033922"/>
      <w:bookmarkEnd w:id="1"/>
      <w:r w:rsidRPr="00FA2A88">
        <w:t>Modification History</w:t>
      </w:r>
    </w:p>
    <w:p w:rsidR="00000000" w:rsidRPr="00FA2A88" w:rsidP="005A12DB">
      <w:pPr>
        <w:pStyle w:val="BodyText"/>
      </w:pPr>
      <w:r w:rsidRPr="00FA2A88">
        <w:t>Release 1. Unit code changed. Application changed. Performance criteria changed. Range of conditions removed. Found</w:t>
      </w:r>
      <w:r w:rsidRPr="00FA2A88">
        <w:t>ation skills information added. Assessment requirements changed. Supersedes and is equivalent to MSS405061 Determine and establish information collection requirements and processes.</w:t>
      </w:r>
    </w:p>
    <w:p w:rsidR="00000000" w:rsidRPr="00FA2A88" w:rsidP="00FA2A88">
      <w:pPr>
        <w:pStyle w:val="Heading1"/>
      </w:pPr>
      <w:bookmarkStart w:id="2" w:name="O_1033923"/>
      <w:bookmarkEnd w:id="2"/>
      <w:r w:rsidRPr="00FA2A88">
        <w:t>Application</w:t>
      </w:r>
    </w:p>
    <w:p w:rsidR="00000000" w:rsidRPr="00FA2A88" w:rsidP="005A12DB">
      <w:pPr>
        <w:pStyle w:val="BodyText"/>
      </w:pPr>
      <w:r w:rsidRPr="00FA2A88">
        <w:t>This unit describes the skills and knowledg</w:t>
      </w:r>
      <w:r w:rsidRPr="00FA2A88">
        <w:t>e required to determine what information is needed to support decision making in a competitive systems and practices environment and then to set about establishing required information collection systems. This would usually be done as part of a team and wo</w:t>
      </w:r>
      <w:r w:rsidRPr="00FA2A88">
        <w:t>uld require consultation with all key stakeholders.</w:t>
      </w:r>
    </w:p>
    <w:p w:rsidR="00000000" w:rsidRPr="00FA2A88" w:rsidP="005A12DB">
      <w:pPr>
        <w:pStyle w:val="BodyText"/>
      </w:pPr>
      <w:r w:rsidRPr="00FA2A88">
        <w:t>This unit covers the determination of data needs and collection methods for an organisation or specific plant or process. This will typically be done in liaison with a wide range of people, each of whom w</w:t>
      </w:r>
      <w:r w:rsidRPr="00FA2A88">
        <w:t>ill have their own specific information requirements. This will need to be balanced and interpreted into a workable set of data to be collected.</w:t>
      </w:r>
    </w:p>
    <w:p w:rsidR="00000000" w:rsidRPr="00FA2A88" w:rsidP="005A12DB">
      <w:pPr>
        <w:pStyle w:val="BodyText"/>
      </w:pPr>
      <w:r w:rsidRPr="00FA2A88">
        <w:t>This unit is primarily focused on those decisions which are non-routine and so need specific collection of data</w:t>
      </w:r>
      <w:r w:rsidRPr="00FA2A88">
        <w:t>, or for those decisions which are routine, the establishment of a routine data collection protocol to allow for the decisions to be made based on appropriate, reliable data.</w:t>
      </w:r>
    </w:p>
    <w:p w:rsidR="00000000" w:rsidRPr="00FA2A88" w:rsidP="005A12DB">
      <w:pPr>
        <w:pStyle w:val="BodyText"/>
      </w:pPr>
      <w:r w:rsidRPr="00FA2A88">
        <w:t>No licensing or certification requirements exist at the time of publication. Rele</w:t>
      </w:r>
      <w:r w:rsidRPr="00FA2A88">
        <w:t>vant legislation, industry standards and codes of practice within Australia must be applied.</w:t>
      </w:r>
    </w:p>
    <w:p w:rsidR="00000000" w:rsidRPr="00FA2A88" w:rsidP="00FA2A88">
      <w:pPr>
        <w:pStyle w:val="Heading1"/>
      </w:pPr>
      <w:bookmarkStart w:id="3" w:name="O_1033924"/>
      <w:bookmarkEnd w:id="3"/>
      <w:r w:rsidRPr="00FA2A88">
        <w:t>Pre-requisite Unit</w:t>
      </w:r>
    </w:p>
    <w:p w:rsidR="00000000" w:rsidRPr="00FA2A88" w:rsidP="005A12DB">
      <w:pPr>
        <w:pStyle w:val="BodyText"/>
      </w:pPr>
      <w:r w:rsidRPr="00FA2A88">
        <w:t>Nil.</w:t>
      </w:r>
    </w:p>
    <w:p w:rsidR="00000000" w:rsidRPr="00FA2A88" w:rsidP="00FA2A88">
      <w:pPr>
        <w:pStyle w:val="Heading1"/>
      </w:pPr>
      <w:bookmarkStart w:id="4" w:name="O_1033925"/>
      <w:bookmarkEnd w:id="4"/>
      <w:r w:rsidRPr="00FA2A88">
        <w:t>Competency Field</w:t>
      </w:r>
    </w:p>
    <w:p w:rsidR="00000000" w:rsidRPr="00FA2A88" w:rsidP="005A12DB">
      <w:pPr>
        <w:pStyle w:val="BodyText"/>
      </w:pPr>
      <w:r w:rsidRPr="00FA2A88">
        <w:t>Competitive systems and practices</w:t>
      </w:r>
    </w:p>
    <w:p w:rsidR="00000000" w:rsidRPr="00FA2A88" w:rsidP="00FA2A88">
      <w:pPr>
        <w:pStyle w:val="Heading1"/>
      </w:pPr>
      <w:bookmarkStart w:id="5" w:name="O_1033926"/>
      <w:bookmarkEnd w:id="5"/>
      <w:r w:rsidRPr="00FA2A88">
        <w:t>Unit Sector</w:t>
      </w:r>
    </w:p>
    <w:p w:rsidR="00000000" w:rsidRPr="00FA2A88" w:rsidP="00FA2A88">
      <w:pPr>
        <w:pStyle w:val="Heading1"/>
      </w:pPr>
      <w:bookmarkStart w:id="6" w:name="O_1033927"/>
      <w:bookmarkEnd w:id="6"/>
      <w:r w:rsidRPr="00FA2A88">
        <w:t>E</w:t>
      </w:r>
      <w:r w:rsidRPr="00FA2A88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88" w:rsidP="00FA2A88">
            <w:pPr>
              <w:pStyle w:val="BodyText"/>
            </w:pPr>
            <w:r w:rsidRPr="00FA2A88">
              <w:rPr>
                <w:rStyle w:val="SpecialBold"/>
              </w:rPr>
              <w:t>Elements</w:t>
            </w:r>
          </w:p>
          <w:p w:rsidR="00000000" w:rsidRPr="00FA2A88" w:rsidP="00FA2A88">
            <w:pPr>
              <w:pStyle w:val="BodyText"/>
            </w:pPr>
            <w:r w:rsidRPr="00FA2A8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88" w:rsidP="00FA2A88">
            <w:pPr>
              <w:pStyle w:val="BodyText"/>
            </w:pPr>
            <w:r w:rsidRPr="00FA2A88">
              <w:rPr>
                <w:rStyle w:val="SpecialBold"/>
              </w:rPr>
              <w:t>Performance Criteria</w:t>
            </w:r>
          </w:p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Performance criteria describe the performance needed to demonstrate achievement of the element.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1. Analyse decisions to be made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Identify personnel to be included in the analysis process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the consequences of the decisions in liaison with personnel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the variables which can be controlled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the variables which cannot be controlled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the consequences of a change in these variables in liaison with affected personnel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2. Define factors that cause variables to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Identify factors which can be controlled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Identify factors which are not able to be controlled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Identify means of measuring these factors, or indicators for the values of these factors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Compile a list of measurements or indicators required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Communicate with team members and involve them in development of factors and changes to ensure awareness and facilitate learning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3. Develop data collection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methods of making measurements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methods of quantifying indicators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Calculate the cost-benefit of data collection method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 Develop systems to produce required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Identify user of information and their needs and abilities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data processing needs to produce required information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information distribution channels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Determine skill development need for recipients of information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Implement systems to produce information</w:t>
            </w:r>
          </w:p>
        </w:tc>
      </w:tr>
      <w:tr w:rsidTr="005A12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88">
            <w:pPr>
              <w:pStyle w:val="BodyText"/>
              <w:rPr>
                <w:lang w:val="en-NZ"/>
              </w:rPr>
            </w:pPr>
            <w:r w:rsidRPr="00FA2A88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88" w:rsidP="00FA2A88">
            <w:pPr>
              <w:pStyle w:val="BodyText"/>
            </w:pPr>
            <w:r w:rsidRPr="00FA2A88">
              <w:t>Monitor implementation and adjust to produce required information</w:t>
            </w:r>
          </w:p>
        </w:tc>
      </w:tr>
    </w:tbl>
    <w:p w:rsidR="00000000" w:rsidRPr="00FA2A88" w:rsidP="00FA2A88">
      <w:pPr>
        <w:pStyle w:val="BodyText"/>
      </w:pPr>
    </w:p>
    <w:p w:rsidR="00000000" w:rsidRPr="00FA2A88" w:rsidP="00FA2A88">
      <w:pPr>
        <w:pStyle w:val="AllowPageBreak"/>
      </w:pPr>
    </w:p>
    <w:p w:rsidR="00000000" w:rsidRPr="00FA2A88" w:rsidP="00FA2A88">
      <w:pPr>
        <w:pStyle w:val="Heading1"/>
      </w:pPr>
      <w:bookmarkStart w:id="7" w:name="O_1033928"/>
      <w:bookmarkEnd w:id="7"/>
      <w:r w:rsidRPr="00FA2A88">
        <w:t>Foundation Skills</w:t>
      </w:r>
    </w:p>
    <w:p w:rsidR="00000000" w:rsidRPr="00FA2A88" w:rsidP="005A12DB">
      <w:pPr>
        <w:pStyle w:val="BodyText"/>
      </w:pPr>
      <w:r w:rsidRPr="00FA2A88">
        <w:t>Foundation skills essential to performance are explicit in the performance criteria of this unit of competency.</w:t>
      </w:r>
    </w:p>
    <w:p w:rsidR="00000000" w:rsidRPr="00FA2A88" w:rsidP="00FA2A88">
      <w:pPr>
        <w:pStyle w:val="Heading1"/>
      </w:pPr>
      <w:bookmarkStart w:id="8" w:name="O_1033929"/>
      <w:bookmarkEnd w:id="8"/>
      <w:r w:rsidRPr="00FA2A88">
        <w:t>Range of Conditions</w:t>
      </w:r>
    </w:p>
    <w:p w:rsidR="00000000" w:rsidRPr="00FA2A88" w:rsidP="00FA2A88">
      <w:pPr>
        <w:pStyle w:val="Heading1"/>
      </w:pPr>
      <w:bookmarkStart w:id="9" w:name="O_1033930"/>
      <w:bookmarkEnd w:id="9"/>
      <w:r w:rsidRPr="00FA2A88">
        <w:t>Unit Mapping Information</w:t>
      </w:r>
    </w:p>
    <w:p w:rsidR="00000000" w:rsidRPr="00FA2A88" w:rsidP="005A12DB">
      <w:pPr>
        <w:pStyle w:val="BodyText"/>
      </w:pPr>
      <w:r w:rsidRPr="00FA2A88">
        <w:t>Supersedes and is equivalent to MSS405061 Determine and establish information collection requirements and processes.</w:t>
      </w:r>
    </w:p>
    <w:p w:rsidR="00000000" w:rsidRPr="00FA2A88" w:rsidP="00FA2A88">
      <w:pPr>
        <w:pStyle w:val="Heading1"/>
      </w:pPr>
      <w:bookmarkStart w:id="10" w:name="O_1033937"/>
      <w:bookmarkEnd w:id="10"/>
      <w:r w:rsidRPr="00FA2A88">
        <w:t>Links</w:t>
      </w:r>
    </w:p>
    <w:p w:rsidR="00000000" w:rsidRPr="00FA2A88" w:rsidP="005A12DB">
      <w:pPr>
        <w:pStyle w:val="BodyText"/>
      </w:pPr>
      <w:r w:rsidRPr="00FA2A88">
        <w:t>The MSS Sustainability Companion Volume Implementation Guides are avail</w:t>
      </w:r>
      <w:r w:rsidRPr="00FA2A88">
        <w:t xml:space="preserve">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B44B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A2A88" w:rsidP="005A12DB">
      <w:pPr>
        <w:pStyle w:val="BodyText"/>
        <w:sectPr w:rsidSect="00FA2A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2A88" w:rsidP="00FA2A88">
      <w:pPr>
        <w:pStyle w:val="SuperHeading"/>
      </w:pPr>
      <w:r w:rsidRPr="00FA2A88">
        <w:t>Assessment Requirements for MSS405064 Determine and establish information collection requirements and pr</w:t>
      </w:r>
      <w:r w:rsidRPr="00FA2A88">
        <w:t>ocesses</w:t>
      </w:r>
    </w:p>
    <w:p w:rsidR="00000000" w:rsidRPr="00FA2A88" w:rsidP="00FA2A88">
      <w:pPr>
        <w:pStyle w:val="Heading1"/>
      </w:pPr>
      <w:bookmarkStart w:id="11" w:name="O_1033932"/>
      <w:bookmarkEnd w:id="11"/>
      <w:r w:rsidRPr="00FA2A88">
        <w:t>Modification History</w:t>
      </w:r>
    </w:p>
    <w:p w:rsidR="00000000" w:rsidRPr="00FA2A88" w:rsidP="005A12DB">
      <w:pPr>
        <w:pStyle w:val="BodyText"/>
      </w:pPr>
      <w:r w:rsidRPr="00FA2A88">
        <w:t xml:space="preserve">Release 1. Unit code changed. Application changed. Performance criteria changed. Range of conditions removed. Foundation skills information added. Assessment requirements changed. Supersedes and is equivalent </w:t>
      </w:r>
      <w:r w:rsidRPr="00FA2A88">
        <w:t>to MSS405061 Determine and establish information collection requirements and processes.</w:t>
      </w:r>
    </w:p>
    <w:p w:rsidR="00000000" w:rsidRPr="00FA2A88" w:rsidP="00FA2A88">
      <w:pPr>
        <w:pStyle w:val="Heading1"/>
      </w:pPr>
      <w:bookmarkStart w:id="12" w:name="O_1033933"/>
      <w:bookmarkEnd w:id="12"/>
      <w:r w:rsidRPr="00FA2A88">
        <w:t>Performance Evidence</w:t>
      </w:r>
    </w:p>
    <w:p w:rsidR="00000000" w:rsidRPr="00FA2A88" w:rsidP="005A12DB">
      <w:pPr>
        <w:pStyle w:val="BodyText"/>
      </w:pPr>
      <w:r w:rsidRPr="00FA2A88">
        <w:t>There must be evidence the candidate has completed the tasks outlined in the elements and performance criteria of this unit, and</w:t>
      </w:r>
      <w:r w:rsidRPr="00FA2A88">
        <w:t>:</w:t>
      </w:r>
    </w:p>
    <w:p w:rsidR="00000000" w:rsidRPr="00FA2A88" w:rsidP="00FA2A88">
      <w:pPr>
        <w:pStyle w:val="ListBullet"/>
      </w:pPr>
      <w:r w:rsidRPr="00FA2A88">
        <w:t>determined and established information collection requirements and processes for at least 1 specific plant or process.</w:t>
      </w:r>
    </w:p>
    <w:p w:rsidR="00000000" w:rsidRPr="00FA2A88" w:rsidP="00FA2A88">
      <w:pPr>
        <w:pStyle w:val="AllowPageBreak"/>
      </w:pPr>
    </w:p>
    <w:p w:rsidR="00000000" w:rsidRPr="00FA2A88" w:rsidP="00FA2A88">
      <w:pPr>
        <w:pStyle w:val="Heading1"/>
      </w:pPr>
      <w:bookmarkStart w:id="13" w:name="O_1033934"/>
      <w:bookmarkEnd w:id="13"/>
      <w:r w:rsidRPr="00FA2A88">
        <w:t>Knowledge Evidence</w:t>
      </w:r>
    </w:p>
    <w:p w:rsidR="00000000" w:rsidRPr="00FA2A88" w:rsidP="005A12DB">
      <w:pPr>
        <w:pStyle w:val="BodyText"/>
      </w:pPr>
      <w:r w:rsidRPr="00FA2A88">
        <w:t>There must be evidence the candidate has knowledge of:</w:t>
      </w:r>
    </w:p>
    <w:p w:rsidR="00000000" w:rsidRPr="00FA2A88" w:rsidP="00FA2A88">
      <w:pPr>
        <w:pStyle w:val="ListBullet"/>
      </w:pPr>
      <w:r w:rsidRPr="00FA2A88">
        <w:t>business needs of the organisation</w:t>
      </w:r>
    </w:p>
    <w:p w:rsidR="00000000" w:rsidRPr="00FA2A88" w:rsidP="00FA2A88">
      <w:pPr>
        <w:pStyle w:val="ListBullet"/>
      </w:pPr>
      <w:r w:rsidRPr="00FA2A88">
        <w:t>information needs of individuals within the organisation</w:t>
      </w:r>
    </w:p>
    <w:p w:rsidR="00000000" w:rsidRPr="00FA2A88" w:rsidP="00FA2A88">
      <w:pPr>
        <w:pStyle w:val="ListBullet"/>
      </w:pPr>
      <w:r w:rsidRPr="00FA2A88">
        <w:t>data available and potentially available to the organisation</w:t>
      </w:r>
    </w:p>
    <w:p w:rsidR="00000000" w:rsidRPr="00FA2A88" w:rsidP="00FA2A88">
      <w:pPr>
        <w:pStyle w:val="ListBullet"/>
      </w:pPr>
      <w:r w:rsidRPr="00FA2A88">
        <w:t>methods of collecting available and potential data</w:t>
      </w:r>
    </w:p>
    <w:p w:rsidR="00000000" w:rsidRPr="00FA2A88" w:rsidP="00FA2A88">
      <w:pPr>
        <w:pStyle w:val="ListBullet"/>
      </w:pPr>
      <w:r w:rsidRPr="00FA2A88">
        <w:t>relationship between data available and information required</w:t>
      </w:r>
    </w:p>
    <w:p w:rsidR="00000000" w:rsidRPr="00FA2A88" w:rsidP="00FA2A88">
      <w:pPr>
        <w:pStyle w:val="ListBullet"/>
      </w:pPr>
      <w:r w:rsidRPr="00FA2A88">
        <w:t>methods of converting data</w:t>
      </w:r>
      <w:r w:rsidRPr="00FA2A88">
        <w:t xml:space="preserve"> into useful information</w:t>
      </w:r>
    </w:p>
    <w:p w:rsidR="00000000" w:rsidRPr="00FA2A88" w:rsidP="00FA2A88">
      <w:pPr>
        <w:pStyle w:val="ListBullet"/>
      </w:pPr>
      <w:r w:rsidRPr="00FA2A88">
        <w:t>methods of developing indicators for factors resistant to measurement</w:t>
      </w:r>
    </w:p>
    <w:p w:rsidR="00000000" w:rsidRPr="00FA2A88" w:rsidP="00FA2A88">
      <w:pPr>
        <w:pStyle w:val="ListBullet"/>
      </w:pPr>
      <w:r w:rsidRPr="00FA2A88">
        <w:t>stakeholder consultation techniques.</w:t>
      </w:r>
    </w:p>
    <w:p w:rsidR="00000000" w:rsidRPr="00FA2A88" w:rsidP="00FA2A88">
      <w:pPr>
        <w:pStyle w:val="AllowPageBreak"/>
      </w:pPr>
    </w:p>
    <w:p w:rsidR="00000000" w:rsidRPr="00FA2A88" w:rsidP="00FA2A88">
      <w:pPr>
        <w:pStyle w:val="Heading1"/>
      </w:pPr>
      <w:bookmarkStart w:id="14" w:name="O_1033935"/>
      <w:bookmarkEnd w:id="14"/>
      <w:r w:rsidRPr="00FA2A88">
        <w:t>Assessment Conditions</w:t>
      </w:r>
    </w:p>
    <w:p w:rsidR="00000000" w:rsidRPr="00FA2A88" w:rsidP="005A12DB">
      <w:pPr>
        <w:pStyle w:val="BodyText"/>
      </w:pPr>
      <w:r w:rsidRPr="00FA2A88">
        <w:t>Skills must have been demonstrated in the workplace or in a simulated environment t</w:t>
      </w:r>
      <w:r w:rsidRPr="00FA2A88">
        <w:t>hat reflects workplace conditions, contingencies, facilities, equipment and resources.</w:t>
      </w:r>
    </w:p>
    <w:p w:rsidR="00000000" w:rsidRPr="00FA2A88" w:rsidP="005A12DB">
      <w:pPr>
        <w:pStyle w:val="BodyText"/>
      </w:pPr>
      <w:r w:rsidRPr="00FA2A88">
        <w:t>Assessors must satisfy the NVR/AQTF mandatory competency requirements for assessors.</w:t>
      </w:r>
    </w:p>
    <w:p w:rsidR="00000000" w:rsidRPr="00FA2A88" w:rsidP="00FA2A88">
      <w:pPr>
        <w:pStyle w:val="Heading1"/>
      </w:pPr>
      <w:bookmarkStart w:id="15" w:name="O_1033938"/>
      <w:bookmarkEnd w:id="15"/>
      <w:r w:rsidRPr="00FA2A88">
        <w:t>Links</w:t>
      </w:r>
    </w:p>
    <w:p w:rsidR="00000000" w:rsidRPr="00FA2A88" w:rsidP="005A12DB">
      <w:pPr>
        <w:pStyle w:val="BodyText"/>
      </w:pPr>
      <w:r w:rsidRPr="00FA2A88">
        <w:t>The MSS Sustainability Companion Volume Implementation Guid</w:t>
      </w:r>
      <w:r w:rsidRPr="00FA2A88">
        <w:t xml:space="preserve">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B44B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A2A88" w:rsidP="00FA2A88"/>
    <w:sectPr w:rsidSect="00FA2A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 w:rsidRPr="005A12DB" w:rsidP="005A1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2DB" w:rsidP="00FA2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2DB" w:rsidP="00FA2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A12DB" w:rsidP="00FA2A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 w:rsidP="00FA2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12DB">
      <w:t>Approved</w:t>
    </w:r>
    <w:r w:rsidR="005A12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12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12DB">
      <w:rPr>
        <w:noProof/>
      </w:rPr>
      <w:t>4</w:t>
    </w:r>
    <w:r>
      <w:rPr>
        <w:noProof/>
      </w:rPr>
      <w:fldChar w:fldCharType="end"/>
    </w:r>
  </w:p>
  <w:p w:rsidR="00FA2A88" w:rsidP="00FA2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12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12DB">
      <w:t>Manufacturing Industry Skills Alliance</w:t>
    </w:r>
    <w:r w:rsidR="005A12DB">
      <w:fldChar w:fldCharType="end"/>
    </w:r>
  </w:p>
  <w:p w:rsidR="00FA2A88" w:rsidP="00FA2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A88" w:rsidRPr="005A12DB" w:rsidP="005A1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2DB" w:rsidRPr="002D2AF8" w:rsidP="00FA2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MSS405064 Determine and establish information collection requirements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12DB" w:rsidP="00FA2A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8" w:rsidRPr="002D2AF8" w:rsidP="00FA2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12DB">
      <w:t>MSS405064 Determine and establish information collection requirements and processes</w:t>
    </w:r>
    <w:r w:rsidR="005A12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12DB">
      <w:rPr>
        <w:noProof/>
      </w:rPr>
      <w:t>2 March 2025</w:t>
    </w:r>
    <w:r>
      <w:fldChar w:fldCharType="end"/>
    </w:r>
  </w:p>
  <w:p w:rsidR="00FA2A88" w:rsidP="00FA2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E1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582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A88"/>
  </w:style>
  <w:style w:type="character" w:customStyle="1" w:styleId="Heading1Char">
    <w:name w:val="Heading 1 Char"/>
    <w:basedOn w:val="DefaultParagraphFont"/>
    <w:link w:val="Heading1"/>
    <w:rsid w:val="00FA2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A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A88"/>
    <w:rPr>
      <w:b/>
      <w:spacing w:val="0"/>
    </w:rPr>
  </w:style>
  <w:style w:type="paragraph" w:customStyle="1" w:styleId="SuperHeading">
    <w:name w:val="SuperHeading"/>
    <w:basedOn w:val="Normal"/>
    <w:rsid w:val="00FA2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A88"/>
    <w:rPr>
      <w:i/>
    </w:rPr>
  </w:style>
  <w:style w:type="paragraph" w:styleId="Caption">
    <w:name w:val="caption"/>
    <w:basedOn w:val="BodyText"/>
    <w:next w:val="Normal"/>
    <w:qFormat/>
    <w:rsid w:val="00FA2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A88"/>
  </w:style>
  <w:style w:type="paragraph" w:styleId="TableofFigures">
    <w:name w:val="table of figures"/>
    <w:basedOn w:val="Normal"/>
    <w:next w:val="Normal"/>
    <w:semiHidden/>
    <w:rsid w:val="00FA2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A88"/>
    <w:rPr>
      <w:rFonts w:ascii="Wingdings" w:hAnsi="Wingdings"/>
    </w:rPr>
  </w:style>
  <w:style w:type="paragraph" w:customStyle="1" w:styleId="TableHeading">
    <w:name w:val="Table Heading"/>
    <w:basedOn w:val="HeadingBase"/>
    <w:rsid w:val="00FA2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A88"/>
    <w:rPr>
      <w:color w:val="0033CC"/>
      <w:u w:val="none"/>
    </w:rPr>
  </w:style>
  <w:style w:type="paragraph" w:customStyle="1" w:styleId="BodyTextRight">
    <w:name w:val="Body Text Right"/>
    <w:basedOn w:val="BodyText"/>
    <w:rsid w:val="00FA2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A88"/>
    <w:rPr>
      <w:sz w:val="32"/>
    </w:rPr>
  </w:style>
  <w:style w:type="paragraph" w:customStyle="1" w:styleId="HeadingProcedure">
    <w:name w:val="Heading Procedure"/>
    <w:basedOn w:val="HeadingBase"/>
    <w:next w:val="Normal"/>
    <w:rsid w:val="00FA2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A88"/>
    <w:pPr>
      <w:spacing w:before="60" w:after="60"/>
    </w:pPr>
  </w:style>
  <w:style w:type="paragraph" w:styleId="ListContinue">
    <w:name w:val="List Continue"/>
    <w:basedOn w:val="List"/>
    <w:rsid w:val="00FA2A88"/>
    <w:pPr>
      <w:ind w:firstLine="0"/>
    </w:pPr>
  </w:style>
  <w:style w:type="paragraph" w:customStyle="1" w:styleId="ListNote">
    <w:name w:val="List Note"/>
    <w:basedOn w:val="List"/>
    <w:rsid w:val="00FA2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A88"/>
    <w:rPr>
      <w:rFonts w:ascii="Courier New" w:hAnsi="Courier New"/>
    </w:rPr>
  </w:style>
  <w:style w:type="paragraph" w:customStyle="1" w:styleId="NoteBullet">
    <w:name w:val="Note Bullet"/>
    <w:basedOn w:val="Note"/>
    <w:rsid w:val="00FA2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A88"/>
    <w:rPr>
      <w:b/>
      <w:smallCaps/>
    </w:rPr>
  </w:style>
  <w:style w:type="paragraph" w:customStyle="1" w:styleId="TableListNumber">
    <w:name w:val="Table List Number"/>
    <w:basedOn w:val="ListNumber"/>
    <w:rsid w:val="00FA2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A88"/>
    <w:pPr>
      <w:numPr>
        <w:numId w:val="8"/>
      </w:numPr>
    </w:pPr>
  </w:style>
  <w:style w:type="paragraph" w:customStyle="1" w:styleId="ListAlpha2">
    <w:name w:val="List Alpha 2"/>
    <w:basedOn w:val="List2"/>
    <w:rsid w:val="00FA2A88"/>
    <w:pPr>
      <w:numPr>
        <w:numId w:val="7"/>
      </w:numPr>
    </w:pPr>
  </w:style>
  <w:style w:type="paragraph" w:styleId="List2">
    <w:name w:val="List 2"/>
    <w:basedOn w:val="BodyText"/>
    <w:rsid w:val="00FA2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A88"/>
    <w:pPr>
      <w:numPr>
        <w:numId w:val="3"/>
      </w:numPr>
    </w:pPr>
  </w:style>
  <w:style w:type="paragraph" w:styleId="ListContinue2">
    <w:name w:val="List Continue 2"/>
    <w:basedOn w:val="List2"/>
    <w:rsid w:val="00FA2A88"/>
    <w:pPr>
      <w:ind w:firstLine="0"/>
    </w:pPr>
  </w:style>
  <w:style w:type="paragraph" w:styleId="ListContinue3">
    <w:name w:val="List Continue 3"/>
    <w:basedOn w:val="List3"/>
    <w:rsid w:val="00FA2A88"/>
    <w:pPr>
      <w:ind w:left="1021" w:firstLine="0"/>
    </w:pPr>
  </w:style>
  <w:style w:type="paragraph" w:styleId="ListContinue4">
    <w:name w:val="List Continue 4"/>
    <w:basedOn w:val="List4"/>
    <w:rsid w:val="00FA2A88"/>
    <w:pPr>
      <w:ind w:firstLine="0"/>
    </w:pPr>
  </w:style>
  <w:style w:type="paragraph" w:styleId="ListContinue5">
    <w:name w:val="List Continue 5"/>
    <w:basedOn w:val="List5"/>
    <w:rsid w:val="00FA2A88"/>
    <w:pPr>
      <w:ind w:firstLine="0"/>
    </w:pPr>
  </w:style>
  <w:style w:type="paragraph" w:styleId="ListNumber3">
    <w:name w:val="List Number 3"/>
    <w:basedOn w:val="List3"/>
    <w:rsid w:val="00FA2A88"/>
    <w:pPr>
      <w:numPr>
        <w:numId w:val="4"/>
      </w:numPr>
    </w:pPr>
  </w:style>
  <w:style w:type="paragraph" w:styleId="ListNumber4">
    <w:name w:val="List Number 4"/>
    <w:basedOn w:val="List4"/>
    <w:rsid w:val="00FA2A88"/>
    <w:pPr>
      <w:numPr>
        <w:numId w:val="5"/>
      </w:numPr>
    </w:pPr>
  </w:style>
  <w:style w:type="paragraph" w:styleId="ListNumber5">
    <w:name w:val="List Number 5"/>
    <w:basedOn w:val="List5"/>
    <w:rsid w:val="00FA2A88"/>
    <w:pPr>
      <w:numPr>
        <w:numId w:val="6"/>
      </w:numPr>
    </w:pPr>
  </w:style>
  <w:style w:type="paragraph" w:styleId="BlockText">
    <w:name w:val="Block Text"/>
    <w:basedOn w:val="Normal"/>
    <w:rsid w:val="00FA2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A88"/>
    <w:rPr>
      <w:sz w:val="16"/>
      <w:vertAlign w:val="superscript"/>
    </w:rPr>
  </w:style>
  <w:style w:type="character" w:customStyle="1" w:styleId="Symbols">
    <w:name w:val="Symbols"/>
    <w:basedOn w:val="DefaultParagraphFont"/>
    <w:rsid w:val="00FA2A88"/>
    <w:rPr>
      <w:rFonts w:ascii="Symbol" w:hAnsi="Symbol"/>
    </w:rPr>
  </w:style>
  <w:style w:type="character" w:customStyle="1" w:styleId="MenuOptions">
    <w:name w:val="Menu Options"/>
    <w:basedOn w:val="DefaultParagraphFont"/>
    <w:rsid w:val="00FA2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A88"/>
    <w:rPr>
      <w:b/>
    </w:rPr>
  </w:style>
  <w:style w:type="character" w:customStyle="1" w:styleId="Underlined">
    <w:name w:val="Underlined"/>
    <w:basedOn w:val="DefaultParagraphFont"/>
    <w:rsid w:val="00FA2A88"/>
    <w:rPr>
      <w:u w:val="single"/>
    </w:rPr>
  </w:style>
  <w:style w:type="paragraph" w:customStyle="1" w:styleId="TableBodyTextRight">
    <w:name w:val="Table Body Text Right"/>
    <w:basedOn w:val="TableBodyText"/>
    <w:rsid w:val="00FA2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A88"/>
    <w:rPr>
      <w:sz w:val="18"/>
    </w:rPr>
  </w:style>
  <w:style w:type="paragraph" w:customStyle="1" w:styleId="BodySmallRight">
    <w:name w:val="Body Small Right"/>
    <w:basedOn w:val="BodyTextRight"/>
    <w:rsid w:val="00FA2A88"/>
    <w:rPr>
      <w:sz w:val="18"/>
      <w:szCs w:val="18"/>
    </w:rPr>
  </w:style>
  <w:style w:type="paragraph" w:customStyle="1" w:styleId="MarginEdition">
    <w:name w:val="Margin Edition"/>
    <w:basedOn w:val="MarginNote"/>
    <w:rsid w:val="00FA2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A88"/>
    <w:rPr>
      <w:sz w:val="2"/>
      <w:szCs w:val="2"/>
    </w:rPr>
  </w:style>
  <w:style w:type="character" w:customStyle="1" w:styleId="Small">
    <w:name w:val="Small"/>
    <w:basedOn w:val="DefaultParagraphFont"/>
    <w:rsid w:val="00FA2A88"/>
    <w:rPr>
      <w:sz w:val="16"/>
    </w:rPr>
  </w:style>
  <w:style w:type="paragraph" w:customStyle="1" w:styleId="WideTable">
    <w:name w:val="Wide Table"/>
    <w:basedOn w:val="Normal"/>
    <w:rsid w:val="00FA2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A88"/>
  </w:style>
  <w:style w:type="paragraph" w:styleId="Quote">
    <w:name w:val="Quote"/>
    <w:basedOn w:val="Heading1"/>
    <w:link w:val="QuoteChar"/>
    <w:qFormat/>
    <w:rsid w:val="00FA2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A88"/>
    <w:pPr>
      <w:pageBreakBefore/>
    </w:pPr>
  </w:style>
  <w:style w:type="paragraph" w:customStyle="1" w:styleId="Border">
    <w:name w:val="Border"/>
    <w:basedOn w:val="Normal"/>
    <w:qFormat/>
    <w:rsid w:val="00FA2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A88"/>
    <w:rPr>
      <w:u w:val="single"/>
    </w:rPr>
  </w:style>
  <w:style w:type="character" w:customStyle="1" w:styleId="BoldandItalics">
    <w:name w:val="Bold and Italics"/>
    <w:qFormat/>
    <w:rsid w:val="00FA2A88"/>
    <w:rPr>
      <w:b/>
      <w:i/>
      <w:u w:val="none"/>
    </w:rPr>
  </w:style>
  <w:style w:type="paragraph" w:styleId="BalloonText">
    <w:name w:val="Balloon Text"/>
    <w:basedOn w:val="Normal"/>
    <w:link w:val="BalloonTextChar"/>
    <w:rsid w:val="00FA2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A88"/>
    <w:pPr>
      <w:spacing w:before="0" w:after="0"/>
    </w:pPr>
  </w:style>
  <w:style w:type="paragraph" w:customStyle="1" w:styleId="BodyTextBold">
    <w:name w:val="Body Text Bold"/>
    <w:basedOn w:val="BodyText"/>
    <w:qFormat/>
    <w:rsid w:val="00FA2A88"/>
    <w:rPr>
      <w:b/>
    </w:rPr>
  </w:style>
  <w:style w:type="character" w:styleId="Hyperlink">
    <w:name w:val="Hyperlink"/>
    <w:basedOn w:val="DefaultParagraphFont"/>
    <w:uiPriority w:val="99"/>
    <w:unhideWhenUsed/>
    <w:rsid w:val="005A1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5031</Characters>
  <Application>Microsoft Office Word</Application>
  <DocSecurity>0</DocSecurity>
  <Lines>173</Lines>
  <Paragraphs>109</Paragraphs>
  <ScaleCrop>false</ScaleCrop>
  <Company>Author-it Software Corporation Ltd.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MSS405064 Determine and establish information collection requirements and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