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2DA8" w:rsidP="00002DA8">
      <w:pPr>
        <w:pStyle w:val="Title"/>
      </w:pPr>
      <w:r>
        <w:fldChar w:fldCharType="begin"/>
      </w:r>
      <w:r>
        <w:instrText xml:space="preserve"> TITLE   \* MERGEFORMAT </w:instrText>
      </w:r>
      <w:r>
        <w:fldChar w:fldCharType="separate"/>
      </w:r>
      <w:r>
        <w:t>MSS405053 Manage application of six sigma for process control and improvement</w:t>
      </w:r>
      <w:r>
        <w:fldChar w:fldCharType="end"/>
      </w:r>
    </w:p>
    <w:p w:rsidR="00002DA8" w:rsidP="00002DA8">
      <w:pPr>
        <w:pStyle w:val="Version"/>
        <w:sectPr w:rsidSect="007000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000EB" w:rsidP="007000EB">
      <w:pPr>
        <w:pStyle w:val="SuperHeading"/>
      </w:pPr>
      <w:r w:rsidRPr="007000EB">
        <w:t>MSS405053 Man</w:t>
      </w:r>
      <w:r w:rsidRPr="007000EB">
        <w:t>age application of six sigma for process control and improvement</w:t>
      </w:r>
    </w:p>
    <w:p w:rsidR="00000000" w:rsidRPr="007000EB" w:rsidP="007000EB">
      <w:pPr>
        <w:pStyle w:val="Heading1"/>
      </w:pPr>
      <w:bookmarkStart w:id="1" w:name="O_1044503"/>
      <w:bookmarkEnd w:id="1"/>
      <w:r w:rsidRPr="007000EB">
        <w:t>Modification History</w:t>
      </w:r>
    </w:p>
    <w:p w:rsidR="00000000" w:rsidRPr="007000EB" w:rsidP="00002DA8">
      <w:pPr>
        <w:pStyle w:val="Heading3"/>
      </w:pPr>
      <w:r w:rsidRPr="007000EB">
        <w:t>Release 2. Updated pre-requisite code</w:t>
      </w:r>
    </w:p>
    <w:p w:rsidR="00000000" w:rsidRPr="007000EB" w:rsidP="00002DA8">
      <w:pPr>
        <w:pStyle w:val="BodyText"/>
      </w:pPr>
      <w:r w:rsidRPr="007000EB">
        <w:t>Release 1. Supersedes and is equivalent to MSS405053A Manage appli</w:t>
      </w:r>
      <w:r w:rsidRPr="007000EB">
        <w:t>cation of six sigma for process control and improvement</w:t>
      </w:r>
    </w:p>
    <w:p w:rsidR="00000000" w:rsidRPr="007000EB" w:rsidP="007000EB">
      <w:pPr>
        <w:pStyle w:val="Heading1"/>
      </w:pPr>
      <w:bookmarkStart w:id="2" w:name="O_1044502"/>
      <w:bookmarkEnd w:id="2"/>
      <w:r w:rsidRPr="007000EB">
        <w:t>Application</w:t>
      </w:r>
    </w:p>
    <w:p w:rsidR="00000000" w:rsidRPr="007000EB" w:rsidP="00002DA8">
      <w:pPr>
        <w:pStyle w:val="BodyText"/>
      </w:pPr>
      <w:r w:rsidRPr="007000EB">
        <w:t xml:space="preserve">This unit of competency covers the skills and knowledge required to manage six sigma (or similar statistics based approach) in the workplace for the purposes of process </w:t>
      </w:r>
      <w:r w:rsidRPr="007000EB">
        <w:t xml:space="preserve">control and process improvement. </w:t>
      </w:r>
    </w:p>
    <w:p w:rsidR="00000000" w:rsidRPr="007000EB" w:rsidP="00002DA8">
      <w:pPr>
        <w:pStyle w:val="BodyText"/>
      </w:pPr>
      <w:r w:rsidRPr="007000EB">
        <w:t>This unit covers the skills and knowledge needed by a technical expert in managing the application of six sigma in an organisation in order to minimise defects and make improvements to processes and/or products. Depending</w:t>
      </w:r>
      <w:r w:rsidRPr="007000EB">
        <w:t xml:space="preserve"> on the need the expert will apply six sigma processes themselves or work with, and advise, other employees in applying six sigma processes.</w:t>
      </w:r>
    </w:p>
    <w:p w:rsidR="00000000" w:rsidRPr="007000EB" w:rsidP="00002DA8">
      <w:pPr>
        <w:pStyle w:val="BodyText"/>
      </w:pPr>
      <w:r w:rsidRPr="007000EB">
        <w:t>This unit requires the application of skills associated with problem solving, initiative, enterprise, planning and</w:t>
      </w:r>
      <w:r w:rsidRPr="007000EB">
        <w:t xml:space="preserve"> organising in order to apply six sigma in the workplace. This unit requires skill in gathering, analysing and applying information and data.</w:t>
      </w:r>
    </w:p>
    <w:p w:rsidR="00000000" w:rsidRPr="007000EB" w:rsidP="00002DA8">
      <w:pPr>
        <w:pStyle w:val="BodyText"/>
      </w:pPr>
      <w:r w:rsidRPr="007000EB">
        <w:t>No licensing, legislative or certification requirements apply to this unit at the time of publication.</w:t>
      </w:r>
    </w:p>
    <w:p w:rsidR="00000000" w:rsidRPr="007000EB" w:rsidP="007000EB">
      <w:pPr>
        <w:pStyle w:val="Heading1"/>
      </w:pPr>
      <w:bookmarkStart w:id="3" w:name="O_1044501"/>
      <w:bookmarkEnd w:id="3"/>
      <w:r w:rsidRPr="007000EB">
        <w:t>Pre-requisite Unit</w:t>
      </w:r>
    </w:p>
    <w:tbl>
      <w:tblPr>
        <w:tblW w:w="0" w:type="auto"/>
        <w:tblLayout w:type="fixed"/>
        <w:tblCellMar>
          <w:left w:w="62" w:type="dxa"/>
          <w:right w:w="62" w:type="dxa"/>
        </w:tblCellMar>
        <w:tblLook w:val="0000"/>
      </w:tblPr>
      <w:tblGrid>
        <w:gridCol w:w="2264"/>
        <w:gridCol w:w="6808"/>
      </w:tblGrid>
      <w:tr w:rsidTr="007000EB">
        <w:tblPrEx>
          <w:tblW w:w="0" w:type="auto"/>
          <w:tblLayout w:type="fixed"/>
          <w:tblCellMar>
            <w:left w:w="62" w:type="dxa"/>
            <w:right w:w="62" w:type="dxa"/>
          </w:tblCellMar>
          <w:tblLook w:val="0000"/>
        </w:tblPrEx>
        <w:tc>
          <w:tcPr>
            <w:tcW w:w="2264" w:type="dxa"/>
            <w:tcBorders>
              <w:top w:val="nil"/>
              <w:left w:val="nil"/>
              <w:bottom w:val="nil"/>
              <w:right w:val="nil"/>
            </w:tcBorders>
            <w:tcMar>
              <w:top w:w="0" w:type="dxa"/>
              <w:left w:w="62" w:type="dxa"/>
              <w:bottom w:w="0" w:type="dxa"/>
              <w:right w:w="62" w:type="dxa"/>
            </w:tcMar>
          </w:tcPr>
          <w:p w:rsidR="00000000" w:rsidP="007000EB">
            <w:pPr>
              <w:pStyle w:val="BodyText"/>
              <w:rPr>
                <w:lang w:val="en-NZ"/>
              </w:rPr>
            </w:pPr>
            <w:r w:rsidRPr="007000EB">
              <w:t>MSS404054</w:t>
            </w:r>
          </w:p>
        </w:tc>
        <w:tc>
          <w:tcPr>
            <w:tcW w:w="6808" w:type="dxa"/>
            <w:tcBorders>
              <w:top w:val="nil"/>
              <w:left w:val="nil"/>
              <w:bottom w:val="nil"/>
              <w:right w:val="nil"/>
            </w:tcBorders>
            <w:tcMar>
              <w:top w:w="0" w:type="dxa"/>
              <w:left w:w="62" w:type="dxa"/>
              <w:bottom w:w="0" w:type="dxa"/>
              <w:right w:w="62" w:type="dxa"/>
            </w:tcMar>
          </w:tcPr>
          <w:p w:rsidR="00000000" w:rsidRPr="007000EB" w:rsidP="007000EB">
            <w:pPr>
              <w:pStyle w:val="BodyText"/>
            </w:pPr>
            <w:r w:rsidRPr="007000EB">
              <w:t>Apply statistics to operational processes</w:t>
            </w:r>
          </w:p>
        </w:tc>
      </w:tr>
    </w:tbl>
    <w:p w:rsidR="00000000" w:rsidRPr="007000EB" w:rsidP="007000EB">
      <w:pPr>
        <w:pStyle w:val="BodyText"/>
      </w:pPr>
    </w:p>
    <w:p w:rsidR="00000000" w:rsidRPr="007000EB" w:rsidP="007000EB">
      <w:pPr>
        <w:pStyle w:val="AllowPageBreak"/>
      </w:pPr>
    </w:p>
    <w:p w:rsidR="00000000" w:rsidRPr="007000EB" w:rsidP="007000EB">
      <w:pPr>
        <w:pStyle w:val="Heading1"/>
      </w:pPr>
      <w:bookmarkStart w:id="4" w:name="O_1044500"/>
      <w:bookmarkEnd w:id="4"/>
      <w:r w:rsidRPr="007000EB">
        <w:t>Competency Field</w:t>
      </w:r>
    </w:p>
    <w:p w:rsidR="00000000" w:rsidRPr="007000EB" w:rsidP="00002DA8">
      <w:pPr>
        <w:pStyle w:val="BodyText"/>
      </w:pPr>
      <w:r w:rsidRPr="007000EB">
        <w:t>Competitive systems and practices</w:t>
      </w:r>
    </w:p>
    <w:p w:rsidR="00000000" w:rsidRPr="007000EB" w:rsidP="007000EB">
      <w:pPr>
        <w:pStyle w:val="Heading1"/>
      </w:pPr>
      <w:bookmarkStart w:id="5" w:name="O_1044499"/>
      <w:bookmarkEnd w:id="5"/>
      <w:r w:rsidRPr="007000EB">
        <w:t>Unit Sector</w:t>
      </w:r>
    </w:p>
    <w:p w:rsidR="00000000" w:rsidRPr="007000EB" w:rsidP="00002DA8">
      <w:pPr>
        <w:pStyle w:val="BodyText"/>
      </w:pPr>
      <w:r w:rsidRPr="007000EB">
        <w:t>Not applicable</w:t>
      </w:r>
    </w:p>
    <w:p w:rsidR="00000000" w:rsidRPr="007000EB" w:rsidP="007000EB">
      <w:pPr>
        <w:pStyle w:val="Heading1"/>
      </w:pPr>
      <w:bookmarkStart w:id="6" w:name="O_1044498"/>
      <w:bookmarkEnd w:id="6"/>
      <w:r w:rsidRPr="007000E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000E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000EB">
            <w:pPr>
              <w:pStyle w:val="BodyText"/>
              <w:rPr>
                <w:lang w:val="en-NZ"/>
              </w:rPr>
            </w:pPr>
            <w:r w:rsidRPr="007000E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000EB">
            <w:pPr>
              <w:pStyle w:val="BodyText"/>
              <w:rPr>
                <w:lang w:val="en-NZ"/>
              </w:rPr>
            </w:pPr>
            <w:r w:rsidRPr="007000EB">
              <w:t>Performance criteria describe the performance needed to demonstrate achievement of the element.</w:t>
            </w:r>
          </w:p>
        </w:tc>
      </w:tr>
      <w:tr w:rsidTr="007000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000EB" w:rsidP="007000EB">
            <w:pPr>
              <w:pStyle w:val="BodyText"/>
            </w:pPr>
            <w:r w:rsidRPr="007000EB">
              <w:t>1</w:t>
            </w:r>
          </w:p>
        </w:tc>
        <w:tc>
          <w:tcPr>
            <w:tcW w:w="1962" w:type="dxa"/>
            <w:vMerge w:val="restart"/>
            <w:tcBorders>
              <w:top w:val="nil"/>
              <w:left w:val="nil"/>
              <w:bottom w:val="nil"/>
              <w:right w:val="nil"/>
            </w:tcBorders>
            <w:tcMar>
              <w:top w:w="0" w:type="dxa"/>
              <w:left w:w="62" w:type="dxa"/>
              <w:bottom w:w="0" w:type="dxa"/>
              <w:right w:w="62" w:type="dxa"/>
            </w:tcMar>
          </w:tcPr>
          <w:p w:rsidR="00000000" w:rsidP="007000EB">
            <w:pPr>
              <w:pStyle w:val="BodyText"/>
              <w:rPr>
                <w:lang w:val="en-NZ"/>
              </w:rPr>
            </w:pPr>
            <w:r w:rsidRPr="007000EB">
              <w:rPr>
                <w:rStyle w:val="SpecialBold"/>
              </w:rPr>
              <w:t>Review process data</w:t>
            </w:r>
          </w:p>
        </w:tc>
        <w:tc>
          <w:tcPr>
            <w:tcW w:w="770" w:type="dxa"/>
            <w:tcBorders>
              <w:top w:val="nil"/>
              <w:left w:val="nil"/>
              <w:bottom w:val="nil"/>
              <w:right w:val="nil"/>
            </w:tcBorders>
            <w:tcMar>
              <w:top w:w="0" w:type="dxa"/>
              <w:left w:w="62" w:type="dxa"/>
              <w:bottom w:w="0" w:type="dxa"/>
              <w:right w:w="62" w:type="dxa"/>
            </w:tcMar>
          </w:tcPr>
          <w:p w:rsidR="00000000" w:rsidP="007000EB">
            <w:pPr>
              <w:pStyle w:val="BodyText"/>
              <w:rPr>
                <w:lang w:val="en-NZ"/>
              </w:rPr>
            </w:pPr>
            <w:r w:rsidRPr="007000EB">
              <w:t>1.1</w:t>
            </w:r>
          </w:p>
        </w:tc>
        <w:tc>
          <w:tcPr>
            <w:tcW w:w="5610" w:type="dxa"/>
            <w:tcBorders>
              <w:top w:val="nil"/>
              <w:left w:val="nil"/>
              <w:bottom w:val="nil"/>
              <w:right w:val="nil"/>
            </w:tcBorders>
            <w:tcMar>
              <w:top w:w="0" w:type="dxa"/>
              <w:left w:w="62" w:type="dxa"/>
              <w:bottom w:w="0" w:type="dxa"/>
              <w:right w:w="62" w:type="dxa"/>
            </w:tcMar>
          </w:tcPr>
          <w:p w:rsidR="00000000" w:rsidP="007000EB">
            <w:pPr>
              <w:pStyle w:val="BodyText"/>
              <w:rPr>
                <w:lang w:val="en-NZ"/>
              </w:rPr>
            </w:pPr>
            <w:r w:rsidRPr="007000EB">
              <w:t>Confirm area of responsibility/study with executive leaders and other stakeholders.</w:t>
            </w:r>
          </w:p>
        </w:tc>
      </w:tr>
      <w:tr w:rsidTr="007000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00EB">
            <w:pPr>
              <w:pStyle w:val="BodyText"/>
              <w:rPr>
                <w:lang w:val="en-NZ"/>
              </w:rPr>
            </w:pPr>
            <w:r w:rsidRPr="007000EB">
              <w:t>1.2</w:t>
            </w:r>
          </w:p>
        </w:tc>
        <w:tc>
          <w:tcPr>
            <w:tcW w:w="5610" w:type="dxa"/>
            <w:tcBorders>
              <w:top w:val="nil"/>
              <w:left w:val="nil"/>
              <w:bottom w:val="nil"/>
              <w:right w:val="nil"/>
            </w:tcBorders>
            <w:tcMar>
              <w:top w:w="0" w:type="dxa"/>
              <w:left w:w="62" w:type="dxa"/>
              <w:bottom w:w="0" w:type="dxa"/>
              <w:right w:w="62" w:type="dxa"/>
            </w:tcMar>
          </w:tcPr>
          <w:p w:rsidR="00000000" w:rsidP="007000EB">
            <w:pPr>
              <w:pStyle w:val="BodyText"/>
              <w:rPr>
                <w:lang w:val="en-NZ"/>
              </w:rPr>
            </w:pPr>
            <w:r w:rsidRPr="007000EB">
              <w:t>Review statistical process control (SPC), process capability and other relevant data for area of responsibility/study.</w:t>
            </w:r>
          </w:p>
        </w:tc>
      </w:tr>
      <w:tr w:rsidTr="007000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00EB">
            <w:pPr>
              <w:pStyle w:val="BodyText"/>
              <w:rPr>
                <w:lang w:val="en-NZ"/>
              </w:rPr>
            </w:pPr>
            <w:r w:rsidRPr="007000EB">
              <w:t>1.3</w:t>
            </w:r>
          </w:p>
        </w:tc>
        <w:tc>
          <w:tcPr>
            <w:tcW w:w="5610" w:type="dxa"/>
            <w:tcBorders>
              <w:top w:val="nil"/>
              <w:left w:val="nil"/>
              <w:bottom w:val="nil"/>
              <w:right w:val="nil"/>
            </w:tcBorders>
            <w:tcMar>
              <w:top w:w="0" w:type="dxa"/>
              <w:left w:w="62" w:type="dxa"/>
              <w:bottom w:w="0" w:type="dxa"/>
              <w:right w:w="62" w:type="dxa"/>
            </w:tcMar>
          </w:tcPr>
          <w:p w:rsidR="00000000" w:rsidP="007000EB">
            <w:pPr>
              <w:pStyle w:val="BodyText"/>
              <w:rPr>
                <w:lang w:val="en-NZ"/>
              </w:rPr>
            </w:pPr>
            <w:r w:rsidRPr="007000EB">
              <w:t>Identify shifts in process performance and processes requiring improvement.</w:t>
            </w:r>
          </w:p>
        </w:tc>
      </w:tr>
      <w:tr w:rsidTr="007000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00EB">
            <w:pPr>
              <w:pStyle w:val="BodyText"/>
              <w:rPr>
                <w:lang w:val="en-NZ"/>
              </w:rPr>
            </w:pPr>
            <w:r w:rsidRPr="007000EB">
              <w:t>1.4</w:t>
            </w:r>
          </w:p>
        </w:tc>
        <w:tc>
          <w:tcPr>
            <w:tcW w:w="5610" w:type="dxa"/>
            <w:tcBorders>
              <w:top w:val="nil"/>
              <w:left w:val="nil"/>
              <w:bottom w:val="nil"/>
              <w:right w:val="nil"/>
            </w:tcBorders>
            <w:tcMar>
              <w:top w:w="0" w:type="dxa"/>
              <w:left w:w="62" w:type="dxa"/>
              <w:bottom w:w="0" w:type="dxa"/>
              <w:right w:w="62" w:type="dxa"/>
            </w:tcMar>
          </w:tcPr>
          <w:p w:rsidR="00000000" w:rsidP="007000EB">
            <w:pPr>
              <w:pStyle w:val="BodyText"/>
              <w:rPr>
                <w:lang w:val="en-NZ"/>
              </w:rPr>
            </w:pPr>
            <w:r w:rsidRPr="007000EB">
              <w:t>Quantify the shifts in performance which ha</w:t>
            </w:r>
            <w:r w:rsidRPr="007000EB">
              <w:t>ve occurred or which are desired.</w:t>
            </w:r>
          </w:p>
        </w:tc>
      </w:tr>
      <w:tr w:rsidTr="007000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00EB">
            <w:pPr>
              <w:pStyle w:val="BodyText"/>
              <w:rPr>
                <w:lang w:val="en-NZ"/>
              </w:rPr>
            </w:pPr>
            <w:r w:rsidRPr="007000EB">
              <w:t>1.5</w:t>
            </w:r>
          </w:p>
        </w:tc>
        <w:tc>
          <w:tcPr>
            <w:tcW w:w="5610" w:type="dxa"/>
            <w:tcBorders>
              <w:top w:val="nil"/>
              <w:left w:val="nil"/>
              <w:bottom w:val="nil"/>
              <w:right w:val="nil"/>
            </w:tcBorders>
            <w:tcMar>
              <w:top w:w="0" w:type="dxa"/>
              <w:left w:w="62" w:type="dxa"/>
              <w:bottom w:w="0" w:type="dxa"/>
              <w:right w:w="62" w:type="dxa"/>
            </w:tcMar>
          </w:tcPr>
          <w:p w:rsidR="00000000" w:rsidP="007000EB">
            <w:pPr>
              <w:pStyle w:val="BodyText"/>
              <w:rPr>
                <w:lang w:val="en-NZ"/>
              </w:rPr>
            </w:pPr>
            <w:r w:rsidRPr="007000EB">
              <w:t>Determine cost of shift in performance and cost of intervention.</w:t>
            </w:r>
          </w:p>
        </w:tc>
      </w:tr>
      <w:tr w:rsidTr="007000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00EB">
            <w:pPr>
              <w:pStyle w:val="BodyText"/>
              <w:rPr>
                <w:lang w:val="en-NZ"/>
              </w:rPr>
            </w:pPr>
            <w:r w:rsidRPr="007000EB">
              <w:t>1.6</w:t>
            </w:r>
          </w:p>
        </w:tc>
        <w:tc>
          <w:tcPr>
            <w:tcW w:w="5610" w:type="dxa"/>
            <w:tcBorders>
              <w:top w:val="nil"/>
              <w:left w:val="nil"/>
              <w:bottom w:val="nil"/>
              <w:right w:val="nil"/>
            </w:tcBorders>
            <w:tcMar>
              <w:top w:w="0" w:type="dxa"/>
              <w:left w:w="62" w:type="dxa"/>
              <w:bottom w:w="0" w:type="dxa"/>
              <w:right w:w="62" w:type="dxa"/>
            </w:tcMar>
          </w:tcPr>
          <w:p w:rsidR="00000000" w:rsidP="007000EB">
            <w:pPr>
              <w:pStyle w:val="BodyText"/>
              <w:rPr>
                <w:lang w:val="en-NZ"/>
              </w:rPr>
            </w:pPr>
            <w:r w:rsidRPr="007000EB">
              <w:t>Identify improvement priorities and degree of intervention.</w:t>
            </w:r>
          </w:p>
        </w:tc>
      </w:tr>
      <w:tr w:rsidTr="007000E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000EB">
            <w:pPr>
              <w:pStyle w:val="BodyText"/>
              <w:rPr>
                <w:lang w:val="en-NZ"/>
              </w:rPr>
            </w:pPr>
          </w:p>
        </w:tc>
      </w:tr>
      <w:tr w:rsidTr="007000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000EB" w:rsidP="007000EB">
            <w:pPr>
              <w:pStyle w:val="BodyText"/>
            </w:pPr>
            <w:r w:rsidRPr="007000EB">
              <w:t>2</w:t>
            </w:r>
          </w:p>
        </w:tc>
        <w:tc>
          <w:tcPr>
            <w:tcW w:w="1962" w:type="dxa"/>
            <w:vMerge w:val="restart"/>
            <w:tcBorders>
              <w:top w:val="nil"/>
              <w:left w:val="nil"/>
              <w:bottom w:val="nil"/>
              <w:right w:val="nil"/>
            </w:tcBorders>
            <w:tcMar>
              <w:top w:w="0" w:type="dxa"/>
              <w:left w:w="62" w:type="dxa"/>
              <w:bottom w:w="0" w:type="dxa"/>
              <w:right w:w="62" w:type="dxa"/>
            </w:tcMar>
          </w:tcPr>
          <w:p w:rsidR="00000000" w:rsidP="007000EB">
            <w:pPr>
              <w:pStyle w:val="BodyText"/>
              <w:rPr>
                <w:lang w:val="en-NZ"/>
              </w:rPr>
            </w:pPr>
            <w:r w:rsidRPr="007000EB">
              <w:rPr>
                <w:rStyle w:val="SpecialBold"/>
              </w:rPr>
              <w:t>Apply define, measure, analyse, improve, and control and standardise (DMAIC) process to priority areas</w:t>
            </w:r>
          </w:p>
        </w:tc>
        <w:tc>
          <w:tcPr>
            <w:tcW w:w="770" w:type="dxa"/>
            <w:tcBorders>
              <w:top w:val="nil"/>
              <w:left w:val="nil"/>
              <w:bottom w:val="nil"/>
              <w:right w:val="nil"/>
            </w:tcBorders>
            <w:tcMar>
              <w:top w:w="0" w:type="dxa"/>
              <w:left w:w="62" w:type="dxa"/>
              <w:bottom w:w="0" w:type="dxa"/>
              <w:right w:w="62" w:type="dxa"/>
            </w:tcMar>
          </w:tcPr>
          <w:p w:rsidR="00000000" w:rsidP="007000EB">
            <w:pPr>
              <w:pStyle w:val="BodyText"/>
              <w:rPr>
                <w:lang w:val="en-NZ"/>
              </w:rPr>
            </w:pPr>
            <w:r w:rsidRPr="007000EB">
              <w:t>2.1</w:t>
            </w:r>
          </w:p>
        </w:tc>
        <w:tc>
          <w:tcPr>
            <w:tcW w:w="5610" w:type="dxa"/>
            <w:tcBorders>
              <w:top w:val="nil"/>
              <w:left w:val="nil"/>
              <w:bottom w:val="nil"/>
              <w:right w:val="nil"/>
            </w:tcBorders>
            <w:tcMar>
              <w:top w:w="0" w:type="dxa"/>
              <w:left w:w="62" w:type="dxa"/>
              <w:bottom w:w="0" w:type="dxa"/>
              <w:right w:w="62" w:type="dxa"/>
            </w:tcMar>
          </w:tcPr>
          <w:p w:rsidR="00000000" w:rsidP="007000EB">
            <w:pPr>
              <w:pStyle w:val="BodyText"/>
              <w:rPr>
                <w:lang w:val="en-NZ"/>
              </w:rPr>
            </w:pPr>
            <w:r w:rsidRPr="007000EB">
              <w:t>Define improvement project.</w:t>
            </w:r>
          </w:p>
        </w:tc>
      </w:tr>
      <w:tr w:rsidTr="007000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00EB">
            <w:pPr>
              <w:pStyle w:val="BodyText"/>
              <w:rPr>
                <w:lang w:val="en-NZ"/>
              </w:rPr>
            </w:pPr>
            <w:r w:rsidRPr="007000EB">
              <w:t>2.2</w:t>
            </w:r>
          </w:p>
        </w:tc>
        <w:tc>
          <w:tcPr>
            <w:tcW w:w="5610" w:type="dxa"/>
            <w:tcBorders>
              <w:top w:val="nil"/>
              <w:left w:val="nil"/>
              <w:bottom w:val="nil"/>
              <w:right w:val="nil"/>
            </w:tcBorders>
            <w:tcMar>
              <w:top w:w="0" w:type="dxa"/>
              <w:left w:w="62" w:type="dxa"/>
              <w:bottom w:w="0" w:type="dxa"/>
              <w:right w:w="62" w:type="dxa"/>
            </w:tcMar>
          </w:tcPr>
          <w:p w:rsidR="00000000" w:rsidP="007000EB">
            <w:pPr>
              <w:pStyle w:val="BodyText"/>
              <w:rPr>
                <w:lang w:val="en-NZ"/>
              </w:rPr>
            </w:pPr>
            <w:r w:rsidRPr="007000EB">
              <w:t>Determine if a six sigma project team is to be established or project undertaken individually.</w:t>
            </w:r>
          </w:p>
        </w:tc>
      </w:tr>
      <w:tr w:rsidTr="007000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00EB">
            <w:pPr>
              <w:pStyle w:val="BodyText"/>
              <w:rPr>
                <w:lang w:val="en-NZ"/>
              </w:rPr>
            </w:pPr>
            <w:r w:rsidRPr="007000EB">
              <w:t>2.3</w:t>
            </w:r>
          </w:p>
        </w:tc>
        <w:tc>
          <w:tcPr>
            <w:tcW w:w="5610" w:type="dxa"/>
            <w:tcBorders>
              <w:top w:val="nil"/>
              <w:left w:val="nil"/>
              <w:bottom w:val="nil"/>
              <w:right w:val="nil"/>
            </w:tcBorders>
            <w:tcMar>
              <w:top w:w="0" w:type="dxa"/>
              <w:left w:w="62" w:type="dxa"/>
              <w:bottom w:w="0" w:type="dxa"/>
              <w:right w:w="62" w:type="dxa"/>
            </w:tcMar>
          </w:tcPr>
          <w:p w:rsidR="00000000" w:rsidP="007000EB">
            <w:pPr>
              <w:pStyle w:val="BodyText"/>
              <w:rPr>
                <w:lang w:val="en-NZ"/>
              </w:rPr>
            </w:pPr>
            <w:r w:rsidRPr="007000EB">
              <w:t>Determine metrics and acquire initial data.</w:t>
            </w:r>
          </w:p>
        </w:tc>
      </w:tr>
      <w:tr w:rsidTr="007000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00EB">
            <w:pPr>
              <w:pStyle w:val="BodyText"/>
              <w:rPr>
                <w:lang w:val="en-NZ"/>
              </w:rPr>
            </w:pPr>
            <w:r w:rsidRPr="007000EB">
              <w:t>2.4</w:t>
            </w:r>
          </w:p>
        </w:tc>
        <w:tc>
          <w:tcPr>
            <w:tcW w:w="5610" w:type="dxa"/>
            <w:tcBorders>
              <w:top w:val="nil"/>
              <w:left w:val="nil"/>
              <w:bottom w:val="nil"/>
              <w:right w:val="nil"/>
            </w:tcBorders>
            <w:tcMar>
              <w:top w:w="0" w:type="dxa"/>
              <w:left w:w="62" w:type="dxa"/>
              <w:bottom w:w="0" w:type="dxa"/>
              <w:right w:w="62" w:type="dxa"/>
            </w:tcMar>
          </w:tcPr>
          <w:p w:rsidR="00000000" w:rsidP="007000EB">
            <w:pPr>
              <w:pStyle w:val="BodyText"/>
              <w:rPr>
                <w:lang w:val="en-NZ"/>
              </w:rPr>
            </w:pPr>
            <w:r w:rsidRPr="007000EB">
              <w:t>Analyse data and determine possible causes of performance shifts/process improvements.</w:t>
            </w:r>
          </w:p>
        </w:tc>
      </w:tr>
      <w:tr w:rsidTr="007000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00EB">
            <w:pPr>
              <w:pStyle w:val="BodyText"/>
              <w:rPr>
                <w:lang w:val="en-NZ"/>
              </w:rPr>
            </w:pPr>
            <w:r w:rsidRPr="007000EB">
              <w:t>2.5</w:t>
            </w:r>
          </w:p>
        </w:tc>
        <w:tc>
          <w:tcPr>
            <w:tcW w:w="5610" w:type="dxa"/>
            <w:tcBorders>
              <w:top w:val="nil"/>
              <w:left w:val="nil"/>
              <w:bottom w:val="nil"/>
              <w:right w:val="nil"/>
            </w:tcBorders>
            <w:tcMar>
              <w:top w:w="0" w:type="dxa"/>
              <w:left w:w="62" w:type="dxa"/>
              <w:bottom w:w="0" w:type="dxa"/>
              <w:right w:w="62" w:type="dxa"/>
            </w:tcMar>
          </w:tcPr>
          <w:p w:rsidR="00000000" w:rsidP="007000EB">
            <w:pPr>
              <w:pStyle w:val="BodyText"/>
              <w:rPr>
                <w:lang w:val="en-NZ"/>
              </w:rPr>
            </w:pPr>
            <w:r w:rsidRPr="007000EB">
              <w:t>Develop and trial improvement solutions.</w:t>
            </w:r>
          </w:p>
        </w:tc>
      </w:tr>
      <w:tr w:rsidTr="007000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00EB">
            <w:pPr>
              <w:pStyle w:val="BodyText"/>
              <w:rPr>
                <w:lang w:val="en-NZ"/>
              </w:rPr>
            </w:pPr>
            <w:r w:rsidRPr="007000EB">
              <w:t>2.6</w:t>
            </w:r>
          </w:p>
        </w:tc>
        <w:tc>
          <w:tcPr>
            <w:tcW w:w="5610" w:type="dxa"/>
            <w:tcBorders>
              <w:top w:val="nil"/>
              <w:left w:val="nil"/>
              <w:bottom w:val="nil"/>
              <w:right w:val="nil"/>
            </w:tcBorders>
            <w:tcMar>
              <w:top w:w="0" w:type="dxa"/>
              <w:left w:w="62" w:type="dxa"/>
              <w:bottom w:w="0" w:type="dxa"/>
              <w:right w:w="62" w:type="dxa"/>
            </w:tcMar>
          </w:tcPr>
          <w:p w:rsidR="00000000" w:rsidP="007000EB">
            <w:pPr>
              <w:pStyle w:val="BodyText"/>
              <w:rPr>
                <w:lang w:val="en-NZ"/>
              </w:rPr>
            </w:pPr>
            <w:r w:rsidRPr="007000EB">
              <w:t>Control and standardise the improvement.</w:t>
            </w:r>
          </w:p>
        </w:tc>
      </w:tr>
      <w:tr w:rsidTr="007000E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000EB">
            <w:pPr>
              <w:pStyle w:val="BodyText"/>
              <w:rPr>
                <w:lang w:val="en-NZ"/>
              </w:rPr>
            </w:pPr>
          </w:p>
        </w:tc>
      </w:tr>
      <w:tr w:rsidTr="007000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000EB" w:rsidP="007000EB">
            <w:pPr>
              <w:pStyle w:val="BodyText"/>
            </w:pPr>
            <w:r w:rsidRPr="007000EB">
              <w:t>3</w:t>
            </w:r>
          </w:p>
        </w:tc>
        <w:tc>
          <w:tcPr>
            <w:tcW w:w="1962" w:type="dxa"/>
            <w:vMerge w:val="restart"/>
            <w:tcBorders>
              <w:top w:val="nil"/>
              <w:left w:val="nil"/>
              <w:bottom w:val="nil"/>
              <w:right w:val="nil"/>
            </w:tcBorders>
            <w:tcMar>
              <w:top w:w="0" w:type="dxa"/>
              <w:left w:w="62" w:type="dxa"/>
              <w:bottom w:w="0" w:type="dxa"/>
              <w:right w:w="62" w:type="dxa"/>
            </w:tcMar>
          </w:tcPr>
          <w:p w:rsidR="00000000" w:rsidP="007000EB">
            <w:pPr>
              <w:pStyle w:val="BodyText"/>
              <w:rPr>
                <w:lang w:val="en-NZ"/>
              </w:rPr>
            </w:pPr>
            <w:r w:rsidRPr="007000EB">
              <w:rPr>
                <w:rStyle w:val="SpecialBold"/>
              </w:rPr>
              <w:t>Establish/review control strategies</w:t>
            </w:r>
          </w:p>
        </w:tc>
        <w:tc>
          <w:tcPr>
            <w:tcW w:w="770" w:type="dxa"/>
            <w:tcBorders>
              <w:top w:val="nil"/>
              <w:left w:val="nil"/>
              <w:bottom w:val="nil"/>
              <w:right w:val="nil"/>
            </w:tcBorders>
            <w:tcMar>
              <w:top w:w="0" w:type="dxa"/>
              <w:left w:w="62" w:type="dxa"/>
              <w:bottom w:w="0" w:type="dxa"/>
              <w:right w:w="62" w:type="dxa"/>
            </w:tcMar>
          </w:tcPr>
          <w:p w:rsidR="00000000" w:rsidP="007000EB">
            <w:pPr>
              <w:pStyle w:val="BodyText"/>
              <w:rPr>
                <w:lang w:val="en-NZ"/>
              </w:rPr>
            </w:pPr>
            <w:r w:rsidRPr="007000EB">
              <w:t>3.1</w:t>
            </w:r>
          </w:p>
        </w:tc>
        <w:tc>
          <w:tcPr>
            <w:tcW w:w="5610" w:type="dxa"/>
            <w:tcBorders>
              <w:top w:val="nil"/>
              <w:left w:val="nil"/>
              <w:bottom w:val="nil"/>
              <w:right w:val="nil"/>
            </w:tcBorders>
            <w:tcMar>
              <w:top w:w="0" w:type="dxa"/>
              <w:left w:w="62" w:type="dxa"/>
              <w:bottom w:w="0" w:type="dxa"/>
              <w:right w:w="62" w:type="dxa"/>
            </w:tcMar>
          </w:tcPr>
          <w:p w:rsidR="00000000" w:rsidP="007000EB">
            <w:pPr>
              <w:pStyle w:val="BodyText"/>
              <w:rPr>
                <w:lang w:val="en-NZ"/>
              </w:rPr>
            </w:pPr>
            <w:r w:rsidRPr="007000EB">
              <w:t>Determine sampling schedule.</w:t>
            </w:r>
          </w:p>
        </w:tc>
      </w:tr>
      <w:tr w:rsidTr="007000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00EB">
            <w:pPr>
              <w:pStyle w:val="BodyText"/>
              <w:rPr>
                <w:lang w:val="en-NZ"/>
              </w:rPr>
            </w:pPr>
            <w:r w:rsidRPr="007000EB">
              <w:t>3.2</w:t>
            </w:r>
          </w:p>
        </w:tc>
        <w:tc>
          <w:tcPr>
            <w:tcW w:w="5610" w:type="dxa"/>
            <w:tcBorders>
              <w:top w:val="nil"/>
              <w:left w:val="nil"/>
              <w:bottom w:val="nil"/>
              <w:right w:val="nil"/>
            </w:tcBorders>
            <w:tcMar>
              <w:top w:w="0" w:type="dxa"/>
              <w:left w:w="62" w:type="dxa"/>
              <w:bottom w:w="0" w:type="dxa"/>
              <w:right w:w="62" w:type="dxa"/>
            </w:tcMar>
          </w:tcPr>
          <w:p w:rsidR="00000000" w:rsidP="007000EB">
            <w:pPr>
              <w:pStyle w:val="BodyText"/>
              <w:rPr>
                <w:lang w:val="en-NZ"/>
              </w:rPr>
            </w:pPr>
            <w:r w:rsidRPr="007000EB">
              <w:t>Analyse data to determine process capability.</w:t>
            </w:r>
          </w:p>
        </w:tc>
      </w:tr>
      <w:tr w:rsidTr="007000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00EB">
            <w:pPr>
              <w:pStyle w:val="BodyText"/>
              <w:rPr>
                <w:lang w:val="en-NZ"/>
              </w:rPr>
            </w:pPr>
            <w:r w:rsidRPr="007000EB">
              <w:t>3.3</w:t>
            </w:r>
          </w:p>
        </w:tc>
        <w:tc>
          <w:tcPr>
            <w:tcW w:w="5610" w:type="dxa"/>
            <w:tcBorders>
              <w:top w:val="nil"/>
              <w:left w:val="nil"/>
              <w:bottom w:val="nil"/>
              <w:right w:val="nil"/>
            </w:tcBorders>
            <w:tcMar>
              <w:top w:w="0" w:type="dxa"/>
              <w:left w:w="62" w:type="dxa"/>
              <w:bottom w:w="0" w:type="dxa"/>
              <w:right w:w="62" w:type="dxa"/>
            </w:tcMar>
          </w:tcPr>
          <w:p w:rsidR="00000000" w:rsidP="007000EB">
            <w:pPr>
              <w:pStyle w:val="BodyText"/>
              <w:rPr>
                <w:lang w:val="en-NZ"/>
              </w:rPr>
            </w:pPr>
            <w:r w:rsidRPr="007000EB">
              <w:t>Develop process control strategy.</w:t>
            </w:r>
          </w:p>
        </w:tc>
      </w:tr>
      <w:tr w:rsidTr="007000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00EB">
            <w:pPr>
              <w:pStyle w:val="BodyText"/>
              <w:rPr>
                <w:lang w:val="en-NZ"/>
              </w:rPr>
            </w:pPr>
            <w:r w:rsidRPr="007000EB">
              <w:t>3.4</w:t>
            </w:r>
          </w:p>
        </w:tc>
        <w:tc>
          <w:tcPr>
            <w:tcW w:w="5610" w:type="dxa"/>
            <w:tcBorders>
              <w:top w:val="nil"/>
              <w:left w:val="nil"/>
              <w:bottom w:val="nil"/>
              <w:right w:val="nil"/>
            </w:tcBorders>
            <w:tcMar>
              <w:top w:w="0" w:type="dxa"/>
              <w:left w:w="62" w:type="dxa"/>
              <w:bottom w:w="0" w:type="dxa"/>
              <w:right w:w="62" w:type="dxa"/>
            </w:tcMar>
          </w:tcPr>
          <w:p w:rsidR="00000000" w:rsidP="007000EB">
            <w:pPr>
              <w:pStyle w:val="BodyText"/>
              <w:rPr>
                <w:lang w:val="en-NZ"/>
              </w:rPr>
            </w:pPr>
            <w:r w:rsidRPr="007000EB">
              <w:t>Confirm strategy with all stakeholders.</w:t>
            </w:r>
          </w:p>
        </w:tc>
      </w:tr>
      <w:tr w:rsidTr="007000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00EB">
            <w:pPr>
              <w:pStyle w:val="BodyText"/>
              <w:rPr>
                <w:lang w:val="en-NZ"/>
              </w:rPr>
            </w:pPr>
            <w:r w:rsidRPr="007000EB">
              <w:t>3.5</w:t>
            </w:r>
          </w:p>
        </w:tc>
        <w:tc>
          <w:tcPr>
            <w:tcW w:w="5610" w:type="dxa"/>
            <w:tcBorders>
              <w:top w:val="nil"/>
              <w:left w:val="nil"/>
              <w:bottom w:val="nil"/>
              <w:right w:val="nil"/>
            </w:tcBorders>
            <w:tcMar>
              <w:top w:w="0" w:type="dxa"/>
              <w:left w:w="62" w:type="dxa"/>
              <w:bottom w:w="0" w:type="dxa"/>
              <w:right w:w="62" w:type="dxa"/>
            </w:tcMar>
          </w:tcPr>
          <w:p w:rsidR="00000000" w:rsidP="007000EB">
            <w:pPr>
              <w:pStyle w:val="BodyText"/>
              <w:rPr>
                <w:lang w:val="en-NZ"/>
              </w:rPr>
            </w:pPr>
            <w:r w:rsidRPr="007000EB">
              <w:t>Identify skills required to implement and monitor process control strategy.</w:t>
            </w:r>
          </w:p>
        </w:tc>
      </w:tr>
      <w:tr w:rsidTr="007000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00EB">
            <w:pPr>
              <w:pStyle w:val="BodyText"/>
              <w:rPr>
                <w:lang w:val="en-NZ"/>
              </w:rPr>
            </w:pPr>
            <w:r w:rsidRPr="007000EB">
              <w:t>3.6</w:t>
            </w:r>
          </w:p>
        </w:tc>
        <w:tc>
          <w:tcPr>
            <w:tcW w:w="5610" w:type="dxa"/>
            <w:tcBorders>
              <w:top w:val="nil"/>
              <w:left w:val="nil"/>
              <w:bottom w:val="nil"/>
              <w:right w:val="nil"/>
            </w:tcBorders>
            <w:tcMar>
              <w:top w:w="0" w:type="dxa"/>
              <w:left w:w="62" w:type="dxa"/>
              <w:bottom w:w="0" w:type="dxa"/>
              <w:right w:w="62" w:type="dxa"/>
            </w:tcMar>
          </w:tcPr>
          <w:p w:rsidR="00000000" w:rsidP="007000EB">
            <w:pPr>
              <w:pStyle w:val="BodyText"/>
              <w:rPr>
                <w:lang w:val="en-NZ"/>
              </w:rPr>
            </w:pPr>
            <w:r w:rsidRPr="007000EB">
              <w:t>Arrange training, where required, for employees in skills and techniques needed for process control strategy.</w:t>
            </w:r>
          </w:p>
        </w:tc>
      </w:tr>
      <w:tr w:rsidTr="007000E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000EB">
            <w:pPr>
              <w:pStyle w:val="BodyText"/>
              <w:rPr>
                <w:lang w:val="en-NZ"/>
              </w:rPr>
            </w:pPr>
          </w:p>
        </w:tc>
      </w:tr>
      <w:tr w:rsidTr="007000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000EB" w:rsidP="007000EB">
            <w:pPr>
              <w:pStyle w:val="BodyText"/>
            </w:pPr>
            <w:r w:rsidRPr="007000EB">
              <w:t>4</w:t>
            </w:r>
          </w:p>
        </w:tc>
        <w:tc>
          <w:tcPr>
            <w:tcW w:w="1962" w:type="dxa"/>
            <w:vMerge w:val="restart"/>
            <w:tcBorders>
              <w:top w:val="nil"/>
              <w:left w:val="nil"/>
              <w:bottom w:val="nil"/>
              <w:right w:val="nil"/>
            </w:tcBorders>
            <w:tcMar>
              <w:top w:w="0" w:type="dxa"/>
              <w:left w:w="62" w:type="dxa"/>
              <w:bottom w:w="0" w:type="dxa"/>
              <w:right w:w="62" w:type="dxa"/>
            </w:tcMar>
          </w:tcPr>
          <w:p w:rsidR="00000000" w:rsidP="007000EB">
            <w:pPr>
              <w:pStyle w:val="BodyText"/>
              <w:rPr>
                <w:lang w:val="en-NZ"/>
              </w:rPr>
            </w:pPr>
            <w:r w:rsidRPr="007000EB">
              <w:rPr>
                <w:rStyle w:val="SpecialBold"/>
              </w:rPr>
              <w:t>Review and confirm improvement</w:t>
            </w:r>
          </w:p>
        </w:tc>
        <w:tc>
          <w:tcPr>
            <w:tcW w:w="770" w:type="dxa"/>
            <w:tcBorders>
              <w:top w:val="nil"/>
              <w:left w:val="nil"/>
              <w:bottom w:val="nil"/>
              <w:right w:val="nil"/>
            </w:tcBorders>
            <w:tcMar>
              <w:top w:w="0" w:type="dxa"/>
              <w:left w:w="62" w:type="dxa"/>
              <w:bottom w:w="0" w:type="dxa"/>
              <w:right w:w="62" w:type="dxa"/>
            </w:tcMar>
          </w:tcPr>
          <w:p w:rsidR="00000000" w:rsidP="007000EB">
            <w:pPr>
              <w:pStyle w:val="BodyText"/>
              <w:rPr>
                <w:lang w:val="en-NZ"/>
              </w:rPr>
            </w:pPr>
            <w:r w:rsidRPr="007000EB">
              <w:t>4.1</w:t>
            </w:r>
          </w:p>
        </w:tc>
        <w:tc>
          <w:tcPr>
            <w:tcW w:w="5610" w:type="dxa"/>
            <w:tcBorders>
              <w:top w:val="nil"/>
              <w:left w:val="nil"/>
              <w:bottom w:val="nil"/>
              <w:right w:val="nil"/>
            </w:tcBorders>
            <w:tcMar>
              <w:top w:w="0" w:type="dxa"/>
              <w:left w:w="62" w:type="dxa"/>
              <w:bottom w:w="0" w:type="dxa"/>
              <w:right w:w="62" w:type="dxa"/>
            </w:tcMar>
          </w:tcPr>
          <w:p w:rsidR="00000000" w:rsidP="007000EB">
            <w:pPr>
              <w:pStyle w:val="BodyText"/>
              <w:rPr>
                <w:lang w:val="en-NZ"/>
              </w:rPr>
            </w:pPr>
            <w:r w:rsidRPr="007000EB">
              <w:t>Calculate and document benefits.</w:t>
            </w:r>
          </w:p>
        </w:tc>
      </w:tr>
      <w:tr w:rsidTr="007000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00EB">
            <w:pPr>
              <w:pStyle w:val="BodyText"/>
              <w:rPr>
                <w:lang w:val="en-NZ"/>
              </w:rPr>
            </w:pPr>
            <w:r w:rsidRPr="007000EB">
              <w:t>4.2</w:t>
            </w:r>
          </w:p>
        </w:tc>
        <w:tc>
          <w:tcPr>
            <w:tcW w:w="5610" w:type="dxa"/>
            <w:tcBorders>
              <w:top w:val="nil"/>
              <w:left w:val="nil"/>
              <w:bottom w:val="nil"/>
              <w:right w:val="nil"/>
            </w:tcBorders>
            <w:tcMar>
              <w:top w:w="0" w:type="dxa"/>
              <w:left w:w="62" w:type="dxa"/>
              <w:bottom w:w="0" w:type="dxa"/>
              <w:right w:w="62" w:type="dxa"/>
            </w:tcMar>
          </w:tcPr>
          <w:p w:rsidR="00000000" w:rsidP="007000EB">
            <w:pPr>
              <w:pStyle w:val="BodyText"/>
              <w:rPr>
                <w:lang w:val="en-NZ"/>
              </w:rPr>
            </w:pPr>
            <w:r w:rsidRPr="007000EB">
              <w:t>Ensure procedures and other relevant documentation is updated for improved procedure.</w:t>
            </w:r>
          </w:p>
        </w:tc>
      </w:tr>
      <w:tr w:rsidTr="007000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00EB">
            <w:pPr>
              <w:pStyle w:val="BodyText"/>
              <w:rPr>
                <w:lang w:val="en-NZ"/>
              </w:rPr>
            </w:pPr>
            <w:r w:rsidRPr="007000EB">
              <w:t>4.3</w:t>
            </w:r>
          </w:p>
        </w:tc>
        <w:tc>
          <w:tcPr>
            <w:tcW w:w="5610" w:type="dxa"/>
            <w:tcBorders>
              <w:top w:val="nil"/>
              <w:left w:val="nil"/>
              <w:bottom w:val="nil"/>
              <w:right w:val="nil"/>
            </w:tcBorders>
            <w:tcMar>
              <w:top w:w="0" w:type="dxa"/>
              <w:left w:w="62" w:type="dxa"/>
              <w:bottom w:w="0" w:type="dxa"/>
              <w:right w:w="62" w:type="dxa"/>
            </w:tcMar>
          </w:tcPr>
          <w:p w:rsidR="00000000" w:rsidRPr="007000EB" w:rsidP="007000EB">
            <w:pPr>
              <w:pStyle w:val="BodyText"/>
            </w:pPr>
            <w:r w:rsidRPr="007000EB">
              <w:t>Review process data after an appropriate period and confirm the improvement.</w:t>
            </w:r>
          </w:p>
        </w:tc>
      </w:tr>
    </w:tbl>
    <w:p w:rsidR="00000000" w:rsidRPr="007000EB" w:rsidP="007000EB">
      <w:pPr>
        <w:pStyle w:val="BodyText"/>
      </w:pPr>
    </w:p>
    <w:p w:rsidR="00000000" w:rsidRPr="007000EB" w:rsidP="007000EB">
      <w:pPr>
        <w:pStyle w:val="AllowPageBreak"/>
      </w:pPr>
    </w:p>
    <w:p w:rsidR="00000000" w:rsidRPr="007000EB" w:rsidP="007000EB">
      <w:pPr>
        <w:pStyle w:val="Heading1"/>
      </w:pPr>
      <w:bookmarkStart w:id="7" w:name="O_1044497"/>
      <w:bookmarkEnd w:id="7"/>
      <w:r w:rsidRPr="007000EB">
        <w:t>Foundation Skills</w:t>
      </w:r>
    </w:p>
    <w:p w:rsidR="00000000" w:rsidRPr="007000EB" w:rsidP="00002DA8">
      <w:pPr>
        <w:pStyle w:val="BodyText"/>
      </w:pPr>
      <w:r w:rsidRPr="007000EB">
        <w:t>This section describes those required skills (language, literacy and numeracy) that are essential to performance.</w:t>
      </w:r>
    </w:p>
    <w:p w:rsidR="00000000" w:rsidRPr="007000EB" w:rsidP="00002DA8">
      <w:pPr>
        <w:pStyle w:val="BodyText"/>
      </w:pPr>
      <w:r w:rsidRPr="007000EB">
        <w:t>Foundation skills essential to performance are explicit in the performance criteria of this unit of competency.</w:t>
      </w:r>
    </w:p>
    <w:p w:rsidR="00000000" w:rsidRPr="007000EB" w:rsidP="007000EB">
      <w:pPr>
        <w:pStyle w:val="Heading1"/>
      </w:pPr>
      <w:bookmarkStart w:id="8" w:name="O_1044496"/>
      <w:bookmarkEnd w:id="8"/>
      <w:r w:rsidRPr="007000EB">
        <w:t>Range of C</w:t>
      </w:r>
      <w:r w:rsidRPr="007000EB">
        <w:t>onditions</w:t>
      </w:r>
    </w:p>
    <w:tbl>
      <w:tblPr>
        <w:tblW w:w="0" w:type="auto"/>
        <w:tblLayout w:type="fixed"/>
        <w:tblCellMar>
          <w:left w:w="62" w:type="dxa"/>
          <w:right w:w="62" w:type="dxa"/>
        </w:tblCellMar>
        <w:tblLook w:val="0000"/>
      </w:tblPr>
      <w:tblGrid>
        <w:gridCol w:w="2264"/>
        <w:gridCol w:w="6808"/>
      </w:tblGrid>
      <w:tr w:rsidTr="007000E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000EB">
            <w:pPr>
              <w:pStyle w:val="BodyText"/>
              <w:rPr>
                <w:lang w:val="en-NZ"/>
              </w:rPr>
            </w:pPr>
            <w:r w:rsidRPr="007000EB">
              <w:t>This field allows for different work environments and conditions that may affect performance. Essential operating conditions that may be present (depending on the work situation, needs of the candidate, accessibility of the item, and local indust</w:t>
            </w:r>
            <w:r w:rsidRPr="007000EB">
              <w:t>ry and regional contexts) are included.</w:t>
            </w:r>
          </w:p>
        </w:tc>
      </w:tr>
      <w:tr w:rsidTr="007000EB">
        <w:tblPrEx>
          <w:tblW w:w="0" w:type="auto"/>
          <w:tblLayout w:type="fixed"/>
          <w:tblCellMar>
            <w:left w:w="62" w:type="dxa"/>
            <w:right w:w="62" w:type="dxa"/>
          </w:tblCellMar>
          <w:tblLook w:val="0000"/>
        </w:tblPrEx>
        <w:tc>
          <w:tcPr>
            <w:tcW w:w="2264" w:type="dxa"/>
            <w:tcBorders>
              <w:top w:val="nil"/>
              <w:left w:val="nil"/>
              <w:bottom w:val="nil"/>
              <w:right w:val="nil"/>
            </w:tcBorders>
            <w:tcMar>
              <w:top w:w="0" w:type="dxa"/>
              <w:left w:w="62" w:type="dxa"/>
              <w:bottom w:w="0" w:type="dxa"/>
              <w:right w:w="62" w:type="dxa"/>
            </w:tcMar>
          </w:tcPr>
          <w:p w:rsidR="00000000" w:rsidP="007000EB">
            <w:pPr>
              <w:pStyle w:val="BodyText"/>
              <w:rPr>
                <w:lang w:val="en-NZ"/>
              </w:rPr>
            </w:pPr>
            <w:r w:rsidRPr="007000EB">
              <w:rPr>
                <w:rStyle w:val="SpecialBold"/>
              </w:rPr>
              <w:t>Competitive systems and practices include one or more of:</w:t>
            </w:r>
          </w:p>
        </w:tc>
        <w:tc>
          <w:tcPr>
            <w:tcW w:w="6808" w:type="dxa"/>
            <w:tcBorders>
              <w:top w:val="nil"/>
              <w:left w:val="nil"/>
              <w:bottom w:val="nil"/>
              <w:right w:val="nil"/>
            </w:tcBorders>
            <w:tcMar>
              <w:top w:w="0" w:type="dxa"/>
              <w:left w:w="62" w:type="dxa"/>
              <w:bottom w:w="0" w:type="dxa"/>
              <w:right w:w="62" w:type="dxa"/>
            </w:tcMar>
          </w:tcPr>
          <w:p w:rsidR="00000000" w:rsidRPr="007000EB" w:rsidP="007000EB">
            <w:pPr>
              <w:pStyle w:val="ListBullet"/>
            </w:pPr>
            <w:r w:rsidRPr="007000EB">
              <w:t>lean operations</w:t>
            </w:r>
          </w:p>
          <w:p w:rsidR="00000000" w:rsidRPr="007000EB" w:rsidP="007000EB">
            <w:pPr>
              <w:pStyle w:val="ListBullet"/>
            </w:pPr>
            <w:r w:rsidRPr="007000EB">
              <w:t>agile operations</w:t>
            </w:r>
          </w:p>
          <w:p w:rsidR="00000000" w:rsidRPr="007000EB" w:rsidP="007000EB">
            <w:pPr>
              <w:pStyle w:val="ListBullet"/>
            </w:pPr>
            <w:r w:rsidRPr="007000EB">
              <w:t>preventative and predictive maintenance approaches</w:t>
            </w:r>
          </w:p>
          <w:p w:rsidR="00000000" w:rsidRPr="007000EB" w:rsidP="007000EB">
            <w:pPr>
              <w:pStyle w:val="ListBullet"/>
            </w:pPr>
            <w:r w:rsidRPr="007000EB">
              <w:t>statistical process control systems, including six sigma and three sigma</w:t>
            </w:r>
          </w:p>
          <w:p w:rsidR="00000000" w:rsidRPr="007000EB" w:rsidP="007000EB">
            <w:pPr>
              <w:pStyle w:val="ListBullet"/>
            </w:pPr>
            <w:r w:rsidRPr="007000EB">
              <w:t>Just in Time (JIT), kanban and other pull-related operations control systems</w:t>
            </w:r>
          </w:p>
          <w:p w:rsidR="00000000" w:rsidRPr="007000EB" w:rsidP="007000EB">
            <w:pPr>
              <w:pStyle w:val="ListBullet"/>
            </w:pPr>
            <w:r w:rsidRPr="007000EB">
              <w:t>supply, value, and demand chain monitoring and analysis</w:t>
            </w:r>
          </w:p>
          <w:p w:rsidR="00000000" w:rsidRPr="007000EB" w:rsidP="007000EB">
            <w:pPr>
              <w:pStyle w:val="ListBullet"/>
            </w:pPr>
            <w:r w:rsidRPr="007000EB">
              <w:t xml:space="preserve">5S </w:t>
            </w:r>
          </w:p>
          <w:p w:rsidR="00000000" w:rsidRPr="007000EB" w:rsidP="007000EB">
            <w:pPr>
              <w:pStyle w:val="ListBullet"/>
            </w:pPr>
            <w:r w:rsidRPr="007000EB">
              <w:t>continuous improvement (kaizen)</w:t>
            </w:r>
          </w:p>
          <w:p w:rsidR="00000000" w:rsidRPr="007000EB" w:rsidP="007000EB">
            <w:pPr>
              <w:pStyle w:val="ListBullet"/>
            </w:pPr>
            <w:r w:rsidRPr="007000EB">
              <w:t>breakthrough i</w:t>
            </w:r>
            <w:r w:rsidRPr="007000EB">
              <w:t>mprovement (kaizen blitz)</w:t>
            </w:r>
          </w:p>
          <w:p w:rsidR="00000000" w:rsidRPr="007000EB" w:rsidP="007000EB">
            <w:pPr>
              <w:pStyle w:val="ListBullet"/>
            </w:pPr>
            <w:r w:rsidRPr="007000EB">
              <w:t>cause/effect diagrams</w:t>
            </w:r>
          </w:p>
          <w:p w:rsidR="00000000" w:rsidRPr="007000EB" w:rsidP="007000EB">
            <w:pPr>
              <w:pStyle w:val="ListBullet"/>
            </w:pPr>
            <w:r w:rsidRPr="007000EB">
              <w:t>overall equipment effectiveness (OEE)</w:t>
            </w:r>
          </w:p>
          <w:p w:rsidR="00000000" w:rsidRPr="007000EB" w:rsidP="007000EB">
            <w:pPr>
              <w:pStyle w:val="ListBullet"/>
            </w:pPr>
            <w:r w:rsidRPr="007000EB">
              <w:t>takt time</w:t>
            </w:r>
          </w:p>
          <w:p w:rsidR="00000000" w:rsidRPr="007000EB" w:rsidP="007000EB">
            <w:pPr>
              <w:pStyle w:val="ListBullet"/>
            </w:pPr>
            <w:r w:rsidRPr="007000EB">
              <w:t>process mapping</w:t>
            </w:r>
          </w:p>
          <w:p w:rsidR="00000000" w:rsidRPr="007000EB" w:rsidP="007000EB">
            <w:pPr>
              <w:pStyle w:val="ListBullet"/>
            </w:pPr>
            <w:r w:rsidRPr="007000EB">
              <w:t xml:space="preserve">problem solving </w:t>
            </w:r>
          </w:p>
          <w:p w:rsidR="00000000" w:rsidRPr="007000EB" w:rsidP="007000EB">
            <w:pPr>
              <w:pStyle w:val="ListBullet"/>
            </w:pPr>
            <w:r w:rsidRPr="007000EB">
              <w:t>run charts</w:t>
            </w:r>
          </w:p>
          <w:p w:rsidR="00000000" w:rsidRPr="007000EB" w:rsidP="007000EB">
            <w:pPr>
              <w:pStyle w:val="ListBullet"/>
            </w:pPr>
            <w:r w:rsidRPr="007000EB">
              <w:t>standard procedures</w:t>
            </w:r>
          </w:p>
          <w:p w:rsidR="00000000" w:rsidRPr="007000EB" w:rsidP="007000EB">
            <w:pPr>
              <w:pStyle w:val="ListBullet"/>
            </w:pPr>
            <w:r w:rsidRPr="007000EB">
              <w:t>current reality tree.</w:t>
            </w:r>
          </w:p>
          <w:p w:rsidR="00000000" w:rsidP="007000EB">
            <w:pPr>
              <w:pStyle w:val="BodyText"/>
              <w:rPr>
                <w:lang w:val="en-NZ"/>
              </w:rPr>
            </w:pPr>
          </w:p>
        </w:tc>
      </w:tr>
      <w:tr w:rsidTr="007000EB">
        <w:tblPrEx>
          <w:tblW w:w="0" w:type="auto"/>
          <w:tblLayout w:type="fixed"/>
          <w:tblCellMar>
            <w:left w:w="62" w:type="dxa"/>
            <w:right w:w="62" w:type="dxa"/>
          </w:tblCellMar>
          <w:tblLook w:val="0000"/>
        </w:tblPrEx>
        <w:tc>
          <w:tcPr>
            <w:tcW w:w="2264" w:type="dxa"/>
            <w:tcBorders>
              <w:top w:val="nil"/>
              <w:left w:val="nil"/>
              <w:bottom w:val="nil"/>
              <w:right w:val="nil"/>
            </w:tcBorders>
            <w:tcMar>
              <w:top w:w="0" w:type="dxa"/>
              <w:left w:w="62" w:type="dxa"/>
              <w:bottom w:w="0" w:type="dxa"/>
              <w:right w:w="62" w:type="dxa"/>
            </w:tcMar>
          </w:tcPr>
          <w:p w:rsidR="00000000" w:rsidP="007000EB">
            <w:pPr>
              <w:pStyle w:val="BodyText"/>
              <w:rPr>
                <w:lang w:val="en-NZ"/>
              </w:rPr>
            </w:pPr>
            <w:r w:rsidRPr="007000EB">
              <w:rPr>
                <w:rStyle w:val="SpecialBold"/>
              </w:rPr>
              <w:t>DMAIC includes all of:</w:t>
            </w:r>
          </w:p>
        </w:tc>
        <w:tc>
          <w:tcPr>
            <w:tcW w:w="6808" w:type="dxa"/>
            <w:tcBorders>
              <w:top w:val="nil"/>
              <w:left w:val="nil"/>
              <w:bottom w:val="nil"/>
              <w:right w:val="nil"/>
            </w:tcBorders>
            <w:tcMar>
              <w:top w:w="0" w:type="dxa"/>
              <w:left w:w="62" w:type="dxa"/>
              <w:bottom w:w="0" w:type="dxa"/>
              <w:right w:w="62" w:type="dxa"/>
            </w:tcMar>
          </w:tcPr>
          <w:p w:rsidR="00000000" w:rsidRPr="007000EB" w:rsidP="007000EB">
            <w:pPr>
              <w:pStyle w:val="ListBullet"/>
            </w:pPr>
            <w:r w:rsidRPr="007000EB">
              <w:t>define</w:t>
            </w:r>
          </w:p>
          <w:p w:rsidR="00000000" w:rsidRPr="007000EB" w:rsidP="007000EB">
            <w:pPr>
              <w:pStyle w:val="ListBullet"/>
            </w:pPr>
            <w:r w:rsidRPr="007000EB">
              <w:t>measure</w:t>
            </w:r>
          </w:p>
          <w:p w:rsidR="00000000" w:rsidRPr="007000EB" w:rsidP="007000EB">
            <w:pPr>
              <w:pStyle w:val="ListBullet"/>
            </w:pPr>
            <w:r w:rsidRPr="007000EB">
              <w:t>analyse</w:t>
            </w:r>
          </w:p>
          <w:p w:rsidR="00000000" w:rsidRPr="007000EB" w:rsidP="007000EB">
            <w:pPr>
              <w:pStyle w:val="ListBullet"/>
            </w:pPr>
            <w:r w:rsidRPr="007000EB">
              <w:t>improve</w:t>
            </w:r>
          </w:p>
          <w:p w:rsidR="00000000" w:rsidRPr="007000EB" w:rsidP="007000EB">
            <w:pPr>
              <w:pStyle w:val="ListBullet"/>
            </w:pPr>
            <w:r w:rsidRPr="007000EB">
              <w:t>control and standardise.</w:t>
            </w:r>
          </w:p>
          <w:p w:rsidR="00000000" w:rsidP="007000EB">
            <w:pPr>
              <w:pStyle w:val="BodyText"/>
              <w:rPr>
                <w:lang w:val="en-NZ"/>
              </w:rPr>
            </w:pPr>
          </w:p>
        </w:tc>
      </w:tr>
      <w:tr w:rsidTr="007000EB">
        <w:tblPrEx>
          <w:tblW w:w="0" w:type="auto"/>
          <w:tblLayout w:type="fixed"/>
          <w:tblCellMar>
            <w:left w:w="62" w:type="dxa"/>
            <w:right w:w="62" w:type="dxa"/>
          </w:tblCellMar>
          <w:tblLook w:val="0000"/>
        </w:tblPrEx>
        <w:tc>
          <w:tcPr>
            <w:tcW w:w="2264" w:type="dxa"/>
            <w:tcBorders>
              <w:top w:val="nil"/>
              <w:left w:val="nil"/>
              <w:bottom w:val="nil"/>
              <w:right w:val="nil"/>
            </w:tcBorders>
            <w:tcMar>
              <w:top w:w="0" w:type="dxa"/>
              <w:left w:w="62" w:type="dxa"/>
              <w:bottom w:w="0" w:type="dxa"/>
              <w:right w:w="62" w:type="dxa"/>
            </w:tcMar>
          </w:tcPr>
          <w:p w:rsidR="00000000" w:rsidP="007000EB">
            <w:pPr>
              <w:pStyle w:val="BodyText"/>
              <w:rPr>
                <w:lang w:val="en-NZ"/>
              </w:rPr>
            </w:pPr>
            <w:r w:rsidRPr="007000EB">
              <w:rPr>
                <w:rStyle w:val="SpecialBold"/>
              </w:rPr>
              <w:t>Definition of the project includes all of:</w:t>
            </w:r>
          </w:p>
        </w:tc>
        <w:tc>
          <w:tcPr>
            <w:tcW w:w="6808" w:type="dxa"/>
            <w:tcBorders>
              <w:top w:val="nil"/>
              <w:left w:val="nil"/>
              <w:bottom w:val="nil"/>
              <w:right w:val="nil"/>
            </w:tcBorders>
            <w:tcMar>
              <w:top w:w="0" w:type="dxa"/>
              <w:left w:w="62" w:type="dxa"/>
              <w:bottom w:w="0" w:type="dxa"/>
              <w:right w:w="62" w:type="dxa"/>
            </w:tcMar>
          </w:tcPr>
          <w:p w:rsidR="00000000" w:rsidRPr="007000EB" w:rsidP="007000EB">
            <w:pPr>
              <w:pStyle w:val="ListBullet"/>
            </w:pPr>
            <w:r w:rsidRPr="007000EB">
              <w:t>completed, verified and validated as in process map</w:t>
            </w:r>
          </w:p>
          <w:p w:rsidR="00000000" w:rsidRPr="007000EB" w:rsidP="007000EB">
            <w:pPr>
              <w:pStyle w:val="ListBullet"/>
            </w:pPr>
            <w:r w:rsidRPr="007000EB">
              <w:t xml:space="preserve">suppliers, inputs, process, outputs, customers (SIPOC) diagram </w:t>
            </w:r>
          </w:p>
          <w:p w:rsidR="00000000" w:rsidRPr="007000EB" w:rsidP="007000EB">
            <w:pPr>
              <w:pStyle w:val="ListBullet"/>
            </w:pPr>
            <w:r w:rsidRPr="007000EB">
              <w:t xml:space="preserve">discrepancies to current </w:t>
            </w:r>
            <w:r>
              <w:t>‘</w:t>
            </w:r>
            <w:r w:rsidRPr="007000EB">
              <w:t>as is</w:t>
            </w:r>
            <w:r>
              <w:t>’</w:t>
            </w:r>
            <w:r w:rsidRPr="007000EB">
              <w:t xml:space="preserve"> process map</w:t>
            </w:r>
          </w:p>
          <w:p w:rsidR="00000000" w:rsidRPr="007000EB" w:rsidP="007000EB">
            <w:pPr>
              <w:pStyle w:val="ListBullet"/>
            </w:pPr>
            <w:r w:rsidRPr="007000EB">
              <w:t>formation and briefing of project team</w:t>
            </w:r>
          </w:p>
          <w:p w:rsidR="00000000" w:rsidRPr="007000EB" w:rsidP="007000EB">
            <w:pPr>
              <w:pStyle w:val="ListBullet"/>
            </w:pPr>
            <w:r w:rsidRPr="007000EB">
              <w:t>defining business case for project</w:t>
            </w:r>
          </w:p>
          <w:p w:rsidR="00000000" w:rsidRPr="007000EB" w:rsidP="007000EB">
            <w:pPr>
              <w:pStyle w:val="ListBullet"/>
            </w:pPr>
            <w:r w:rsidRPr="007000EB">
              <w:t>problem statement</w:t>
            </w:r>
          </w:p>
          <w:p w:rsidR="00000000" w:rsidRPr="007000EB" w:rsidP="007000EB">
            <w:pPr>
              <w:pStyle w:val="ListBullet"/>
            </w:pPr>
            <w:r w:rsidRPr="007000EB">
              <w:t>goal statement</w:t>
            </w:r>
          </w:p>
          <w:p w:rsidR="00000000" w:rsidRPr="007000EB" w:rsidP="007000EB">
            <w:pPr>
              <w:pStyle w:val="ListBullet"/>
            </w:pPr>
            <w:r w:rsidRPr="007000EB">
              <w:t>project scope.</w:t>
            </w:r>
          </w:p>
          <w:p w:rsidR="00000000" w:rsidP="007000EB">
            <w:pPr>
              <w:pStyle w:val="BodyText"/>
              <w:rPr>
                <w:lang w:val="en-NZ"/>
              </w:rPr>
            </w:pPr>
          </w:p>
        </w:tc>
      </w:tr>
      <w:tr w:rsidTr="007000EB">
        <w:tblPrEx>
          <w:tblW w:w="0" w:type="auto"/>
          <w:tblLayout w:type="fixed"/>
          <w:tblCellMar>
            <w:left w:w="62" w:type="dxa"/>
            <w:right w:w="62" w:type="dxa"/>
          </w:tblCellMar>
          <w:tblLook w:val="0000"/>
        </w:tblPrEx>
        <w:tc>
          <w:tcPr>
            <w:tcW w:w="2264" w:type="dxa"/>
            <w:tcBorders>
              <w:top w:val="nil"/>
              <w:left w:val="nil"/>
              <w:bottom w:val="nil"/>
              <w:right w:val="nil"/>
            </w:tcBorders>
            <w:tcMar>
              <w:top w:w="0" w:type="dxa"/>
              <w:left w:w="62" w:type="dxa"/>
              <w:bottom w:w="0" w:type="dxa"/>
              <w:right w:w="62" w:type="dxa"/>
            </w:tcMar>
          </w:tcPr>
          <w:p w:rsidR="00000000" w:rsidP="007000EB">
            <w:pPr>
              <w:pStyle w:val="BodyText"/>
              <w:rPr>
                <w:lang w:val="en-NZ"/>
              </w:rPr>
            </w:pPr>
            <w:r w:rsidRPr="007000EB">
              <w:rPr>
                <w:rStyle w:val="SpecialBold"/>
              </w:rPr>
              <w:t>Metrics includes one or more of:</w:t>
            </w:r>
          </w:p>
        </w:tc>
        <w:tc>
          <w:tcPr>
            <w:tcW w:w="6808" w:type="dxa"/>
            <w:tcBorders>
              <w:top w:val="nil"/>
              <w:left w:val="nil"/>
              <w:bottom w:val="nil"/>
              <w:right w:val="nil"/>
            </w:tcBorders>
            <w:tcMar>
              <w:top w:w="0" w:type="dxa"/>
              <w:left w:w="62" w:type="dxa"/>
              <w:bottom w:w="0" w:type="dxa"/>
              <w:right w:w="62" w:type="dxa"/>
            </w:tcMar>
          </w:tcPr>
          <w:p w:rsidR="00000000" w:rsidRPr="007000EB" w:rsidP="007000EB">
            <w:pPr>
              <w:pStyle w:val="ListBullet"/>
            </w:pPr>
            <w:r w:rsidRPr="007000EB">
              <w:t>key measures/attributes</w:t>
            </w:r>
          </w:p>
          <w:p w:rsidR="00000000" w:rsidRPr="007000EB" w:rsidP="007000EB">
            <w:pPr>
              <w:pStyle w:val="ListBullet"/>
            </w:pPr>
            <w:r w:rsidRPr="007000EB">
              <w:t>sampling schedule for project</w:t>
            </w:r>
          </w:p>
          <w:p w:rsidR="00000000" w:rsidRPr="007000EB" w:rsidP="007000EB">
            <w:pPr>
              <w:pStyle w:val="ListBullet"/>
            </w:pPr>
            <w:r w:rsidRPr="007000EB">
              <w:t>defect rate</w:t>
            </w:r>
          </w:p>
          <w:p w:rsidR="00000000" w:rsidRPr="007000EB" w:rsidP="007000EB">
            <w:pPr>
              <w:pStyle w:val="ListBullet"/>
            </w:pPr>
            <w:r w:rsidRPr="007000EB">
              <w:t>other metrics required by the bu</w:t>
            </w:r>
            <w:r w:rsidRPr="007000EB">
              <w:t>siness.</w:t>
            </w:r>
          </w:p>
          <w:p w:rsidR="00000000" w:rsidP="007000EB">
            <w:pPr>
              <w:pStyle w:val="BodyText"/>
              <w:rPr>
                <w:lang w:val="en-NZ"/>
              </w:rPr>
            </w:pPr>
          </w:p>
        </w:tc>
      </w:tr>
      <w:tr w:rsidTr="007000EB">
        <w:tblPrEx>
          <w:tblW w:w="0" w:type="auto"/>
          <w:tblLayout w:type="fixed"/>
          <w:tblCellMar>
            <w:left w:w="62" w:type="dxa"/>
            <w:right w:w="62" w:type="dxa"/>
          </w:tblCellMar>
          <w:tblLook w:val="0000"/>
        </w:tblPrEx>
        <w:tc>
          <w:tcPr>
            <w:tcW w:w="2264" w:type="dxa"/>
            <w:tcBorders>
              <w:top w:val="nil"/>
              <w:left w:val="nil"/>
              <w:bottom w:val="nil"/>
              <w:right w:val="nil"/>
            </w:tcBorders>
            <w:tcMar>
              <w:top w:w="0" w:type="dxa"/>
              <w:left w:w="62" w:type="dxa"/>
              <w:bottom w:w="0" w:type="dxa"/>
              <w:right w:w="62" w:type="dxa"/>
            </w:tcMar>
          </w:tcPr>
          <w:p w:rsidR="00000000" w:rsidP="007000EB">
            <w:pPr>
              <w:pStyle w:val="BodyText"/>
              <w:rPr>
                <w:lang w:val="en-NZ"/>
              </w:rPr>
            </w:pPr>
            <w:r w:rsidRPr="007000EB">
              <w:rPr>
                <w:rStyle w:val="SpecialBold"/>
              </w:rPr>
              <w:t>Analyse includes one or more of:</w:t>
            </w:r>
          </w:p>
        </w:tc>
        <w:tc>
          <w:tcPr>
            <w:tcW w:w="6808" w:type="dxa"/>
            <w:tcBorders>
              <w:top w:val="nil"/>
              <w:left w:val="nil"/>
              <w:bottom w:val="nil"/>
              <w:right w:val="nil"/>
            </w:tcBorders>
            <w:tcMar>
              <w:top w:w="0" w:type="dxa"/>
              <w:left w:w="62" w:type="dxa"/>
              <w:bottom w:w="0" w:type="dxa"/>
              <w:right w:w="62" w:type="dxa"/>
            </w:tcMar>
          </w:tcPr>
          <w:p w:rsidR="00000000" w:rsidRPr="007000EB" w:rsidP="007000EB">
            <w:pPr>
              <w:pStyle w:val="ListBullet"/>
            </w:pPr>
            <w:r w:rsidRPr="007000EB">
              <w:t>statistical analysis of data</w:t>
            </w:r>
          </w:p>
          <w:p w:rsidR="00000000" w:rsidRPr="007000EB" w:rsidP="007000EB">
            <w:pPr>
              <w:pStyle w:val="ListBullet"/>
            </w:pPr>
            <w:r w:rsidRPr="007000EB">
              <w:t>root cause analysis (RCA)</w:t>
            </w:r>
          </w:p>
          <w:p w:rsidR="00000000" w:rsidRPr="007000EB" w:rsidP="007000EB">
            <w:pPr>
              <w:pStyle w:val="ListBullet"/>
            </w:pPr>
            <w:r w:rsidRPr="007000EB">
              <w:t>failure mode and effects analysis (FMEA)</w:t>
            </w:r>
          </w:p>
          <w:p w:rsidR="00000000" w:rsidRPr="007000EB" w:rsidP="007000EB">
            <w:pPr>
              <w:pStyle w:val="ListBullet"/>
            </w:pPr>
            <w:r w:rsidRPr="007000EB">
              <w:t>use of various other problem solving/analysis tools.</w:t>
            </w:r>
          </w:p>
          <w:p w:rsidR="00000000" w:rsidP="007000EB">
            <w:pPr>
              <w:pStyle w:val="BodyText"/>
              <w:rPr>
                <w:lang w:val="en-NZ"/>
              </w:rPr>
            </w:pPr>
          </w:p>
        </w:tc>
      </w:tr>
      <w:tr w:rsidTr="007000EB">
        <w:tblPrEx>
          <w:tblW w:w="0" w:type="auto"/>
          <w:tblLayout w:type="fixed"/>
          <w:tblCellMar>
            <w:left w:w="62" w:type="dxa"/>
            <w:right w:w="62" w:type="dxa"/>
          </w:tblCellMar>
          <w:tblLook w:val="0000"/>
        </w:tblPrEx>
        <w:tc>
          <w:tcPr>
            <w:tcW w:w="2264" w:type="dxa"/>
            <w:tcBorders>
              <w:top w:val="nil"/>
              <w:left w:val="nil"/>
              <w:bottom w:val="nil"/>
              <w:right w:val="nil"/>
            </w:tcBorders>
            <w:tcMar>
              <w:top w:w="0" w:type="dxa"/>
              <w:left w:w="62" w:type="dxa"/>
              <w:bottom w:w="0" w:type="dxa"/>
              <w:right w:w="62" w:type="dxa"/>
            </w:tcMar>
          </w:tcPr>
          <w:p w:rsidR="00000000" w:rsidP="007000EB">
            <w:pPr>
              <w:pStyle w:val="BodyText"/>
              <w:rPr>
                <w:lang w:val="en-NZ"/>
              </w:rPr>
            </w:pPr>
            <w:r w:rsidRPr="007000EB">
              <w:rPr>
                <w:rStyle w:val="SpecialBold"/>
              </w:rPr>
              <w:t>Improve includes one or more of:</w:t>
            </w:r>
          </w:p>
        </w:tc>
        <w:tc>
          <w:tcPr>
            <w:tcW w:w="6808" w:type="dxa"/>
            <w:tcBorders>
              <w:top w:val="nil"/>
              <w:left w:val="nil"/>
              <w:bottom w:val="nil"/>
              <w:right w:val="nil"/>
            </w:tcBorders>
            <w:tcMar>
              <w:top w:w="0" w:type="dxa"/>
              <w:left w:w="62" w:type="dxa"/>
              <w:bottom w:w="0" w:type="dxa"/>
              <w:right w:w="62" w:type="dxa"/>
            </w:tcMar>
          </w:tcPr>
          <w:p w:rsidR="00000000" w:rsidRPr="007000EB" w:rsidP="007000EB">
            <w:pPr>
              <w:pStyle w:val="ListBullet"/>
            </w:pPr>
            <w:r w:rsidRPr="007000EB">
              <w:t>generating and testing of improvements</w:t>
            </w:r>
          </w:p>
          <w:p w:rsidR="00000000" w:rsidRPr="007000EB" w:rsidP="007000EB">
            <w:pPr>
              <w:pStyle w:val="ListBullet"/>
            </w:pPr>
            <w:r w:rsidRPr="007000EB">
              <w:t>selecting appropriate improvements.</w:t>
            </w:r>
          </w:p>
          <w:p w:rsidR="00000000" w:rsidP="007000EB">
            <w:pPr>
              <w:pStyle w:val="BodyText"/>
              <w:rPr>
                <w:lang w:val="en-NZ"/>
              </w:rPr>
            </w:pPr>
          </w:p>
        </w:tc>
      </w:tr>
      <w:tr w:rsidTr="007000EB">
        <w:tblPrEx>
          <w:tblW w:w="0" w:type="auto"/>
          <w:tblLayout w:type="fixed"/>
          <w:tblCellMar>
            <w:left w:w="62" w:type="dxa"/>
            <w:right w:w="62" w:type="dxa"/>
          </w:tblCellMar>
          <w:tblLook w:val="0000"/>
        </w:tblPrEx>
        <w:tc>
          <w:tcPr>
            <w:tcW w:w="2264" w:type="dxa"/>
            <w:tcBorders>
              <w:top w:val="nil"/>
              <w:left w:val="nil"/>
              <w:bottom w:val="nil"/>
              <w:right w:val="nil"/>
            </w:tcBorders>
            <w:tcMar>
              <w:top w:w="0" w:type="dxa"/>
              <w:left w:w="62" w:type="dxa"/>
              <w:bottom w:w="0" w:type="dxa"/>
              <w:right w:w="62" w:type="dxa"/>
            </w:tcMar>
          </w:tcPr>
          <w:p w:rsidR="00000000" w:rsidP="007000EB">
            <w:pPr>
              <w:pStyle w:val="BodyText"/>
              <w:rPr>
                <w:lang w:val="en-NZ"/>
              </w:rPr>
            </w:pPr>
            <w:r w:rsidRPr="007000EB">
              <w:rPr>
                <w:rStyle w:val="SpecialBold"/>
              </w:rPr>
              <w:t>Control and standardise includes all of:</w:t>
            </w:r>
          </w:p>
        </w:tc>
        <w:tc>
          <w:tcPr>
            <w:tcW w:w="6808" w:type="dxa"/>
            <w:tcBorders>
              <w:top w:val="nil"/>
              <w:left w:val="nil"/>
              <w:bottom w:val="nil"/>
              <w:right w:val="nil"/>
            </w:tcBorders>
            <w:tcMar>
              <w:top w:w="0" w:type="dxa"/>
              <w:left w:w="62" w:type="dxa"/>
              <w:bottom w:w="0" w:type="dxa"/>
              <w:right w:w="62" w:type="dxa"/>
            </w:tcMar>
          </w:tcPr>
          <w:p w:rsidR="00000000" w:rsidRPr="007000EB" w:rsidP="007000EB">
            <w:pPr>
              <w:pStyle w:val="ListBullet"/>
            </w:pPr>
            <w:r w:rsidRPr="007000EB">
              <w:t>documenting (in organisation approved format) outcomes and procedures for standardisation</w:t>
            </w:r>
          </w:p>
          <w:p w:rsidR="00000000" w:rsidRPr="007000EB" w:rsidP="007000EB">
            <w:pPr>
              <w:pStyle w:val="ListBullet"/>
            </w:pPr>
            <w:r w:rsidRPr="007000EB">
              <w:t>transferring ownership of improved process.</w:t>
            </w:r>
          </w:p>
          <w:p w:rsidR="00000000" w:rsidP="007000EB">
            <w:pPr>
              <w:pStyle w:val="BodyText"/>
              <w:rPr>
                <w:lang w:val="en-NZ"/>
              </w:rPr>
            </w:pPr>
          </w:p>
        </w:tc>
      </w:tr>
      <w:tr w:rsidTr="007000EB">
        <w:tblPrEx>
          <w:tblW w:w="0" w:type="auto"/>
          <w:tblLayout w:type="fixed"/>
          <w:tblCellMar>
            <w:left w:w="62" w:type="dxa"/>
            <w:right w:w="62" w:type="dxa"/>
          </w:tblCellMar>
          <w:tblLook w:val="0000"/>
        </w:tblPrEx>
        <w:tc>
          <w:tcPr>
            <w:tcW w:w="2264" w:type="dxa"/>
            <w:tcBorders>
              <w:top w:val="nil"/>
              <w:left w:val="nil"/>
              <w:bottom w:val="nil"/>
              <w:right w:val="nil"/>
            </w:tcBorders>
            <w:tcMar>
              <w:top w:w="0" w:type="dxa"/>
              <w:left w:w="62" w:type="dxa"/>
              <w:bottom w:w="0" w:type="dxa"/>
              <w:right w:w="62" w:type="dxa"/>
            </w:tcMar>
          </w:tcPr>
          <w:p w:rsidR="00000000" w:rsidP="007000EB">
            <w:pPr>
              <w:pStyle w:val="BodyText"/>
              <w:rPr>
                <w:lang w:val="en-NZ"/>
              </w:rPr>
            </w:pPr>
            <w:r w:rsidRPr="007000EB">
              <w:rPr>
                <w:rStyle w:val="SpecialBold"/>
              </w:rPr>
              <w:t>S</w:t>
            </w:r>
            <w:r w:rsidRPr="007000EB">
              <w:rPr>
                <w:rStyle w:val="SpecialBold"/>
              </w:rPr>
              <w:t>ampling schedule includes one or more of:</w:t>
            </w:r>
          </w:p>
        </w:tc>
        <w:tc>
          <w:tcPr>
            <w:tcW w:w="6808" w:type="dxa"/>
            <w:tcBorders>
              <w:top w:val="nil"/>
              <w:left w:val="nil"/>
              <w:bottom w:val="nil"/>
              <w:right w:val="nil"/>
            </w:tcBorders>
            <w:tcMar>
              <w:top w:w="0" w:type="dxa"/>
              <w:left w:w="62" w:type="dxa"/>
              <w:bottom w:w="0" w:type="dxa"/>
              <w:right w:w="62" w:type="dxa"/>
            </w:tcMar>
          </w:tcPr>
          <w:p w:rsidR="00000000" w:rsidRPr="007000EB" w:rsidP="007000EB">
            <w:pPr>
              <w:pStyle w:val="ListBullet"/>
            </w:pPr>
            <w:r w:rsidRPr="007000EB">
              <w:t>sampling frequency</w:t>
            </w:r>
          </w:p>
          <w:p w:rsidR="00000000" w:rsidRPr="007000EB" w:rsidP="007000EB">
            <w:pPr>
              <w:pStyle w:val="ListBullet"/>
            </w:pPr>
            <w:r w:rsidRPr="007000EB">
              <w:t>type of sample/sample method</w:t>
            </w:r>
          </w:p>
          <w:p w:rsidR="00000000" w:rsidRPr="007000EB" w:rsidP="007000EB">
            <w:pPr>
              <w:pStyle w:val="ListBullet"/>
            </w:pPr>
            <w:r w:rsidRPr="007000EB">
              <w:t>sample location/type</w:t>
            </w:r>
          </w:p>
          <w:p w:rsidR="00000000" w:rsidRPr="007000EB" w:rsidP="007000EB">
            <w:pPr>
              <w:pStyle w:val="ListBullet"/>
            </w:pPr>
            <w:r w:rsidRPr="007000EB">
              <w:t>type of test/data to be collected.</w:t>
            </w:r>
          </w:p>
          <w:p w:rsidR="00000000" w:rsidP="007000EB">
            <w:pPr>
              <w:pStyle w:val="BodyText"/>
              <w:rPr>
                <w:lang w:val="en-NZ"/>
              </w:rPr>
            </w:pPr>
          </w:p>
        </w:tc>
      </w:tr>
      <w:tr w:rsidTr="007000EB">
        <w:tblPrEx>
          <w:tblW w:w="0" w:type="auto"/>
          <w:tblLayout w:type="fixed"/>
          <w:tblCellMar>
            <w:left w:w="62" w:type="dxa"/>
            <w:right w:w="62" w:type="dxa"/>
          </w:tblCellMar>
          <w:tblLook w:val="0000"/>
        </w:tblPrEx>
        <w:tc>
          <w:tcPr>
            <w:tcW w:w="2264" w:type="dxa"/>
            <w:tcBorders>
              <w:top w:val="nil"/>
              <w:left w:val="nil"/>
              <w:bottom w:val="nil"/>
              <w:right w:val="nil"/>
            </w:tcBorders>
            <w:tcMar>
              <w:top w:w="0" w:type="dxa"/>
              <w:left w:w="62" w:type="dxa"/>
              <w:bottom w:w="0" w:type="dxa"/>
              <w:right w:w="62" w:type="dxa"/>
            </w:tcMar>
          </w:tcPr>
          <w:p w:rsidR="00000000" w:rsidP="007000EB">
            <w:pPr>
              <w:pStyle w:val="BodyText"/>
              <w:rPr>
                <w:lang w:val="en-NZ"/>
              </w:rPr>
            </w:pPr>
            <w:r w:rsidRPr="007000EB">
              <w:rPr>
                <w:rStyle w:val="SpecialBold"/>
              </w:rPr>
              <w:t>Process control strategy includes one or more of:</w:t>
            </w:r>
          </w:p>
        </w:tc>
        <w:tc>
          <w:tcPr>
            <w:tcW w:w="6808" w:type="dxa"/>
            <w:tcBorders>
              <w:top w:val="nil"/>
              <w:left w:val="nil"/>
              <w:bottom w:val="nil"/>
              <w:right w:val="nil"/>
            </w:tcBorders>
            <w:tcMar>
              <w:top w:w="0" w:type="dxa"/>
              <w:left w:w="62" w:type="dxa"/>
              <w:bottom w:w="0" w:type="dxa"/>
              <w:right w:w="62" w:type="dxa"/>
            </w:tcMar>
          </w:tcPr>
          <w:p w:rsidR="00000000" w:rsidRPr="007000EB" w:rsidP="007000EB">
            <w:pPr>
              <w:pStyle w:val="ListBullet"/>
            </w:pPr>
            <w:r w:rsidRPr="007000EB">
              <w:t>degree of intervention/rules for resets</w:t>
            </w:r>
          </w:p>
          <w:p w:rsidR="00000000" w:rsidRPr="007000EB" w:rsidP="007000EB">
            <w:pPr>
              <w:pStyle w:val="ListBullet"/>
            </w:pPr>
            <w:r w:rsidRPr="007000EB">
              <w:t>SPC tools to be used.</w:t>
            </w:r>
          </w:p>
          <w:p w:rsidR="00000000" w:rsidRPr="007000EB" w:rsidP="007000EB">
            <w:pPr>
              <w:pStyle w:val="BodyText"/>
            </w:pPr>
          </w:p>
        </w:tc>
      </w:tr>
    </w:tbl>
    <w:p w:rsidR="00000000" w:rsidRPr="007000EB" w:rsidP="007000EB">
      <w:pPr>
        <w:pStyle w:val="BodyText"/>
      </w:pPr>
    </w:p>
    <w:p w:rsidR="00000000" w:rsidRPr="007000EB" w:rsidP="007000EB">
      <w:pPr>
        <w:pStyle w:val="AllowPageBreak"/>
      </w:pPr>
    </w:p>
    <w:p w:rsidR="00000000" w:rsidRPr="007000EB" w:rsidP="007000EB">
      <w:pPr>
        <w:pStyle w:val="Heading1"/>
      </w:pPr>
      <w:bookmarkStart w:id="9" w:name="O_1044495"/>
      <w:bookmarkEnd w:id="9"/>
      <w:r w:rsidRPr="007000EB">
        <w:t>Unit Mapping Information</w:t>
      </w:r>
    </w:p>
    <w:p w:rsidR="00000000" w:rsidRPr="007000EB" w:rsidP="00002DA8">
      <w:pPr>
        <w:pStyle w:val="Heading3"/>
      </w:pPr>
      <w:r w:rsidRPr="007000EB">
        <w:t>Release 2. Equivalent to Release 1</w:t>
      </w:r>
    </w:p>
    <w:p w:rsidR="00000000" w:rsidRPr="007000EB" w:rsidP="00002DA8">
      <w:pPr>
        <w:pStyle w:val="BodyText"/>
      </w:pPr>
      <w:r w:rsidRPr="007000EB">
        <w:t>Release 1. Supersedes and is equivalent to MSS405053A Manage application of six sigma for process control and improvement</w:t>
      </w:r>
    </w:p>
    <w:p w:rsidR="00000000" w:rsidRPr="007000EB" w:rsidP="007000EB">
      <w:pPr>
        <w:pStyle w:val="Heading1"/>
      </w:pPr>
      <w:bookmarkStart w:id="10" w:name="O_1044504"/>
      <w:bookmarkEnd w:id="10"/>
      <w:r w:rsidRPr="007000EB">
        <w:t>Links</w:t>
      </w:r>
    </w:p>
    <w:p w:rsidR="00000000" w:rsidRPr="007000EB" w:rsidP="00002DA8">
      <w:pPr>
        <w:pStyle w:val="BodyText"/>
      </w:pPr>
      <w:r w:rsidRPr="007000EB">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1E5590">
        <w:rPr>
          <w:rStyle w:val="Hyperlink"/>
        </w:rPr>
        <w:t>https://vetnet.gov.au/Pages/TrainingDocs.aspx?q=5b04f318-804f-4dc0-9463-c3fb9a3fe998</w:t>
      </w:r>
      <w:r>
        <w:fldChar w:fldCharType="end"/>
      </w:r>
    </w:p>
    <w:p w:rsidR="00000000" w:rsidRPr="007000EB" w:rsidP="007000EB"/>
    <w:sectPr w:rsidSect="007000E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0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0EB" w:rsidRPr="00002DA8" w:rsidP="00002D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0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DA8" w:rsidP="007000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02DA8" w:rsidP="007000E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02DA8" w:rsidP="007000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0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D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00EB" w:rsidRPr="00002DA8" w:rsidP="00002D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0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DA8" w:rsidRPr="002D2AF8" w:rsidP="007000EB">
    <w:pPr>
      <w:pStyle w:val="Header"/>
      <w:framePr w:wrap="around"/>
    </w:pPr>
    <w:r>
      <w:fldChar w:fldCharType="begin"/>
    </w:r>
    <w:r>
      <w:instrText xml:space="preserve"> TITLE   \* MERGEFORMAT </w:instrText>
    </w:r>
    <w:r>
      <w:fldChar w:fldCharType="separate"/>
    </w:r>
    <w:r>
      <w:t>MSS405053 Manage application of six sigma for process control and improvement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February 2023</w:t>
    </w:r>
    <w:r>
      <w:fldChar w:fldCharType="end"/>
    </w:r>
  </w:p>
  <w:p w:rsidR="00002DA8" w:rsidP="007000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CD497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31C6E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00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00EB"/>
    <w:pPr>
      <w:spacing w:before="360" w:after="60"/>
      <w:outlineLvl w:val="0"/>
    </w:pPr>
    <w:rPr>
      <w:sz w:val="32"/>
    </w:rPr>
  </w:style>
  <w:style w:type="paragraph" w:styleId="Heading2">
    <w:name w:val="heading 2"/>
    <w:basedOn w:val="HeadingBase"/>
    <w:next w:val="BodyText"/>
    <w:link w:val="Heading2Char"/>
    <w:qFormat/>
    <w:rsid w:val="007000EB"/>
    <w:pPr>
      <w:keepLines/>
      <w:spacing w:before="240" w:after="120"/>
      <w:outlineLvl w:val="1"/>
    </w:pPr>
    <w:rPr>
      <w:sz w:val="28"/>
      <w:szCs w:val="40"/>
    </w:rPr>
  </w:style>
  <w:style w:type="paragraph" w:styleId="Heading3">
    <w:name w:val="heading 3"/>
    <w:basedOn w:val="HeadingBase"/>
    <w:next w:val="BodyText"/>
    <w:link w:val="Heading3Char"/>
    <w:qFormat/>
    <w:rsid w:val="007000EB"/>
    <w:pPr>
      <w:spacing w:before="180" w:after="120"/>
      <w:outlineLvl w:val="2"/>
    </w:pPr>
    <w:rPr>
      <w:spacing w:val="-10"/>
      <w:kern w:val="32"/>
    </w:rPr>
  </w:style>
  <w:style w:type="paragraph" w:styleId="Heading4">
    <w:name w:val="heading 4"/>
    <w:basedOn w:val="HeadingBase"/>
    <w:next w:val="BodyText"/>
    <w:link w:val="Heading4Char"/>
    <w:qFormat/>
    <w:rsid w:val="007000EB"/>
    <w:pPr>
      <w:spacing w:before="160" w:after="120"/>
      <w:outlineLvl w:val="3"/>
    </w:pPr>
    <w:rPr>
      <w:sz w:val="22"/>
    </w:rPr>
  </w:style>
  <w:style w:type="paragraph" w:styleId="Heading5">
    <w:name w:val="heading 5"/>
    <w:basedOn w:val="HeadingBase"/>
    <w:next w:val="Normal"/>
    <w:link w:val="Heading5Char"/>
    <w:qFormat/>
    <w:rsid w:val="007000EB"/>
    <w:pPr>
      <w:spacing w:before="80"/>
      <w:outlineLvl w:val="4"/>
    </w:pPr>
    <w:rPr>
      <w:color w:val="918585"/>
      <w:sz w:val="20"/>
    </w:rPr>
  </w:style>
  <w:style w:type="paragraph" w:styleId="Heading6">
    <w:name w:val="heading 6"/>
    <w:basedOn w:val="HeadingBase"/>
    <w:next w:val="Normal"/>
    <w:link w:val="Heading6Char"/>
    <w:qFormat/>
    <w:rsid w:val="007000EB"/>
    <w:pPr>
      <w:spacing w:before="60"/>
      <w:outlineLvl w:val="5"/>
    </w:pPr>
    <w:rPr>
      <w:color w:val="918585"/>
      <w:sz w:val="20"/>
    </w:rPr>
  </w:style>
  <w:style w:type="paragraph" w:styleId="Heading7">
    <w:name w:val="heading 7"/>
    <w:basedOn w:val="Normal"/>
    <w:next w:val="Normal"/>
    <w:link w:val="Heading7Char"/>
    <w:qFormat/>
    <w:rsid w:val="007000EB"/>
    <w:pPr>
      <w:ind w:left="720"/>
      <w:outlineLvl w:val="6"/>
    </w:pPr>
    <w:rPr>
      <w:i/>
    </w:rPr>
  </w:style>
  <w:style w:type="paragraph" w:styleId="Heading8">
    <w:name w:val="heading 8"/>
    <w:basedOn w:val="Normal"/>
    <w:next w:val="Normal"/>
    <w:link w:val="Heading8Char"/>
    <w:qFormat/>
    <w:rsid w:val="007000EB"/>
    <w:pPr>
      <w:ind w:left="720"/>
      <w:outlineLvl w:val="7"/>
    </w:pPr>
    <w:rPr>
      <w:i/>
    </w:rPr>
  </w:style>
  <w:style w:type="paragraph" w:styleId="Heading9">
    <w:name w:val="heading 9"/>
    <w:basedOn w:val="Normal"/>
    <w:next w:val="Normal"/>
    <w:link w:val="Heading9Char"/>
    <w:qFormat/>
    <w:rsid w:val="007000EB"/>
    <w:pPr>
      <w:ind w:left="720"/>
      <w:outlineLvl w:val="8"/>
    </w:pPr>
    <w:rPr>
      <w:i/>
    </w:rPr>
  </w:style>
  <w:style w:type="character" w:default="1" w:styleId="DefaultParagraphFont">
    <w:name w:val="Default Paragraph Font"/>
    <w:uiPriority w:val="1"/>
    <w:unhideWhenUsed/>
    <w:rsid w:val="007000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00EB"/>
  </w:style>
  <w:style w:type="character" w:customStyle="1" w:styleId="Heading1Char">
    <w:name w:val="Heading 1 Char"/>
    <w:basedOn w:val="DefaultParagraphFont"/>
    <w:link w:val="Heading1"/>
    <w:rsid w:val="007000EB"/>
    <w:rPr>
      <w:rFonts w:ascii="Times New Roman" w:eastAsia="Times New Roman" w:hAnsi="Times New Roman" w:cs="Times New Roman"/>
      <w:b/>
      <w:sz w:val="32"/>
      <w:szCs w:val="20"/>
      <w:lang w:eastAsia="en-US"/>
    </w:rPr>
  </w:style>
  <w:style w:type="paragraph" w:styleId="BodyText">
    <w:name w:val="Body Text"/>
    <w:basedOn w:val="Normal"/>
    <w:link w:val="BodyTextChar"/>
    <w:rsid w:val="007000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00EB"/>
    <w:rPr>
      <w:rFonts w:ascii="Times New Roman" w:eastAsia="Times New Roman" w:hAnsi="Times New Roman" w:cs="Times New Roman"/>
      <w:sz w:val="24"/>
      <w:lang w:eastAsia="en-US"/>
    </w:rPr>
  </w:style>
  <w:style w:type="paragraph" w:styleId="ListBullet">
    <w:name w:val="List Bullet"/>
    <w:basedOn w:val="List"/>
    <w:rsid w:val="007000EB"/>
    <w:pPr>
      <w:numPr>
        <w:numId w:val="11"/>
      </w:numPr>
      <w:tabs>
        <w:tab w:val="clear" w:pos="340"/>
      </w:tabs>
      <w:spacing w:before="40" w:after="40"/>
    </w:pPr>
  </w:style>
  <w:style w:type="character" w:customStyle="1" w:styleId="SpecialBold">
    <w:name w:val="Special Bold"/>
    <w:basedOn w:val="DefaultParagraphFont"/>
    <w:rsid w:val="007000EB"/>
    <w:rPr>
      <w:b/>
      <w:spacing w:val="0"/>
    </w:rPr>
  </w:style>
  <w:style w:type="paragraph" w:customStyle="1" w:styleId="SuperHeading">
    <w:name w:val="SuperHeading"/>
    <w:basedOn w:val="Normal"/>
    <w:rsid w:val="007000EB"/>
    <w:pPr>
      <w:spacing w:before="240" w:after="120"/>
      <w:outlineLvl w:val="0"/>
    </w:pPr>
    <w:rPr>
      <w:rFonts w:ascii="Times New Roman" w:hAnsi="Times New Roman"/>
      <w:b/>
      <w:sz w:val="32"/>
    </w:rPr>
  </w:style>
  <w:style w:type="paragraph" w:customStyle="1" w:styleId="AllowPageBreak">
    <w:name w:val="AllowPageBreak"/>
    <w:rsid w:val="007000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00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00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00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00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00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00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00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00EB"/>
    <w:rPr>
      <w:rFonts w:ascii="Courier New" w:eastAsia="Times New Roman" w:hAnsi="Courier New" w:cs="Times New Roman"/>
      <w:i/>
      <w:szCs w:val="20"/>
      <w:lang w:eastAsia="en-US"/>
    </w:rPr>
  </w:style>
  <w:style w:type="paragraph" w:customStyle="1" w:styleId="HeadingBase">
    <w:name w:val="Heading Base"/>
    <w:rsid w:val="007000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00EB"/>
    <w:pPr>
      <w:tabs>
        <w:tab w:val="right" w:leader="dot" w:pos="9072"/>
      </w:tabs>
      <w:ind w:left="567"/>
    </w:pPr>
    <w:rPr>
      <w:szCs w:val="22"/>
    </w:rPr>
  </w:style>
  <w:style w:type="paragraph" w:customStyle="1" w:styleId="TOCBase">
    <w:name w:val="TOC Base"/>
    <w:rsid w:val="007000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00EB"/>
    <w:pPr>
      <w:tabs>
        <w:tab w:val="right" w:leader="dot" w:pos="9072"/>
      </w:tabs>
      <w:spacing w:before="40" w:after="40"/>
      <w:ind w:left="284"/>
    </w:pPr>
    <w:rPr>
      <w:rFonts w:ascii="Times New Roman" w:hAnsi="Times New Roman"/>
    </w:rPr>
  </w:style>
  <w:style w:type="paragraph" w:styleId="TOC1">
    <w:name w:val="toc 1"/>
    <w:basedOn w:val="TOCBase"/>
    <w:next w:val="Normal"/>
    <w:rsid w:val="007000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00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00EB"/>
    <w:rPr>
      <w:rFonts w:ascii="Times New Roman" w:eastAsia="Times New Roman" w:hAnsi="Times New Roman" w:cs="Times New Roman"/>
      <w:sz w:val="16"/>
      <w:lang w:eastAsia="en-US"/>
    </w:rPr>
  </w:style>
  <w:style w:type="paragraph" w:styleId="Title">
    <w:name w:val="Title"/>
    <w:basedOn w:val="HeadingBase"/>
    <w:link w:val="TitleChar"/>
    <w:qFormat/>
    <w:rsid w:val="007000EB"/>
    <w:pPr>
      <w:spacing w:before="5040"/>
      <w:jc w:val="center"/>
    </w:pPr>
    <w:rPr>
      <w:sz w:val="48"/>
      <w:szCs w:val="72"/>
      <w:lang w:val="en-US"/>
    </w:rPr>
  </w:style>
  <w:style w:type="character" w:customStyle="1" w:styleId="TitleChar">
    <w:name w:val="Title Char"/>
    <w:basedOn w:val="DefaultParagraphFont"/>
    <w:link w:val="Title"/>
    <w:rsid w:val="007000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00EB"/>
    <w:pPr>
      <w:tabs>
        <w:tab w:val="left" w:pos="3600"/>
        <w:tab w:val="left" w:pos="3958"/>
      </w:tabs>
    </w:pPr>
  </w:style>
  <w:style w:type="paragraph" w:styleId="List">
    <w:name w:val="List"/>
    <w:basedOn w:val="BodyText"/>
    <w:next w:val="BodyText"/>
    <w:rsid w:val="007000EB"/>
    <w:pPr>
      <w:tabs>
        <w:tab w:val="left" w:pos="340"/>
      </w:tabs>
      <w:spacing w:before="60" w:after="60"/>
      <w:ind w:left="340" w:hanging="340"/>
    </w:pPr>
  </w:style>
  <w:style w:type="paragraph" w:customStyle="1" w:styleId="Note">
    <w:name w:val="Note"/>
    <w:basedOn w:val="BodyText"/>
    <w:rsid w:val="007000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00EB"/>
    <w:pPr>
      <w:framePr w:wrap="auto" w:hAnchor="text" w:y="6049"/>
    </w:pPr>
    <w:rPr>
      <w:color w:val="000000"/>
      <w:sz w:val="40"/>
    </w:rPr>
  </w:style>
  <w:style w:type="paragraph" w:customStyle="1" w:styleId="TOCTitle">
    <w:name w:val="TOCTitle"/>
    <w:basedOn w:val="Heading1"/>
    <w:rsid w:val="007000EB"/>
    <w:pPr>
      <w:spacing w:after="240"/>
      <w:jc w:val="center"/>
      <w:outlineLvl w:val="9"/>
    </w:pPr>
    <w:rPr>
      <w:caps/>
    </w:rPr>
  </w:style>
  <w:style w:type="paragraph" w:customStyle="1" w:styleId="Version">
    <w:name w:val="Version"/>
    <w:rsid w:val="007000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00EB"/>
    <w:pPr>
      <w:numPr>
        <w:numId w:val="12"/>
      </w:numPr>
      <w:tabs>
        <w:tab w:val="clear" w:pos="680"/>
      </w:tabs>
    </w:pPr>
  </w:style>
  <w:style w:type="paragraph" w:styleId="Index1">
    <w:name w:val="index 1"/>
    <w:basedOn w:val="Normal"/>
    <w:next w:val="Normal"/>
    <w:semiHidden/>
    <w:rsid w:val="007000EB"/>
    <w:pPr>
      <w:keepNext w:val="0"/>
      <w:tabs>
        <w:tab w:val="right" w:pos="4176"/>
      </w:tabs>
      <w:ind w:left="198" w:hanging="198"/>
    </w:pPr>
    <w:rPr>
      <w:rFonts w:ascii="Garamond" w:hAnsi="Garamond"/>
    </w:rPr>
  </w:style>
  <w:style w:type="paragraph" w:styleId="IndexHeading">
    <w:name w:val="index heading"/>
    <w:basedOn w:val="Normal"/>
    <w:next w:val="Index1"/>
    <w:semiHidden/>
    <w:rsid w:val="007000EB"/>
    <w:pPr>
      <w:spacing w:before="120" w:after="120"/>
    </w:pPr>
    <w:rPr>
      <w:rFonts w:ascii="Arial" w:hAnsi="Arial"/>
      <w:b/>
      <w:color w:val="918585"/>
      <w:sz w:val="24"/>
    </w:rPr>
  </w:style>
  <w:style w:type="paragraph" w:styleId="Header">
    <w:name w:val="header"/>
    <w:basedOn w:val="Normal"/>
    <w:link w:val="HeaderChar"/>
    <w:rsid w:val="007000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00EB"/>
    <w:rPr>
      <w:rFonts w:ascii="Times New Roman" w:eastAsia="Times New Roman" w:hAnsi="Times New Roman" w:cs="Times New Roman"/>
      <w:sz w:val="16"/>
      <w:szCs w:val="20"/>
      <w:lang w:val="en-GB" w:eastAsia="en-US"/>
    </w:rPr>
  </w:style>
  <w:style w:type="paragraph" w:customStyle="1" w:styleId="Chapter">
    <w:name w:val="Chapter"/>
    <w:basedOn w:val="Normal"/>
    <w:rsid w:val="007000EB"/>
    <w:pPr>
      <w:spacing w:before="240"/>
    </w:pPr>
    <w:rPr>
      <w:rFonts w:ascii="Times New Roman" w:hAnsi="Times New Roman"/>
      <w:smallCaps/>
      <w:spacing w:val="80"/>
      <w:sz w:val="28"/>
    </w:rPr>
  </w:style>
  <w:style w:type="paragraph" w:customStyle="1" w:styleId="InChapter">
    <w:name w:val="InChapter"/>
    <w:basedOn w:val="Heading3"/>
    <w:rsid w:val="007000EB"/>
    <w:pPr>
      <w:spacing w:after="240"/>
      <w:outlineLvl w:val="9"/>
    </w:pPr>
    <w:rPr>
      <w:noProof/>
    </w:rPr>
  </w:style>
  <w:style w:type="paragraph" w:styleId="Index2">
    <w:name w:val="index 2"/>
    <w:basedOn w:val="Normal"/>
    <w:next w:val="Normal"/>
    <w:semiHidden/>
    <w:rsid w:val="007000EB"/>
    <w:pPr>
      <w:tabs>
        <w:tab w:val="right" w:pos="4176"/>
      </w:tabs>
      <w:ind w:left="568" w:hanging="284"/>
    </w:pPr>
    <w:rPr>
      <w:rFonts w:ascii="Garamond" w:hAnsi="Garamond"/>
    </w:rPr>
  </w:style>
  <w:style w:type="paragraph" w:customStyle="1" w:styleId="Byline">
    <w:name w:val="Byline"/>
    <w:rsid w:val="007000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00EB"/>
    <w:pPr>
      <w:tabs>
        <w:tab w:val="clear" w:pos="3600"/>
        <w:tab w:val="clear" w:pos="3958"/>
      </w:tabs>
      <w:jc w:val="right"/>
    </w:pPr>
  </w:style>
  <w:style w:type="character" w:styleId="Emphasis">
    <w:name w:val="Emphasis"/>
    <w:basedOn w:val="DefaultParagraphFont"/>
    <w:qFormat/>
    <w:rsid w:val="007000EB"/>
    <w:rPr>
      <w:i/>
    </w:rPr>
  </w:style>
  <w:style w:type="paragraph" w:styleId="Caption">
    <w:name w:val="caption"/>
    <w:basedOn w:val="BodyText"/>
    <w:next w:val="Normal"/>
    <w:qFormat/>
    <w:rsid w:val="007000EB"/>
    <w:pPr>
      <w:framePr w:w="2268" w:hSpace="181" w:vSpace="181" w:wrap="around" w:vAnchor="text" w:hAnchor="page" w:x="1135" w:y="285" w:anchorLock="1"/>
    </w:pPr>
    <w:rPr>
      <w:i/>
    </w:rPr>
  </w:style>
  <w:style w:type="paragraph" w:customStyle="1" w:styleId="MiniTOCTitle">
    <w:name w:val="MiniTOCTitle"/>
    <w:basedOn w:val="Heading4"/>
    <w:rsid w:val="007000EB"/>
    <w:pPr>
      <w:spacing w:before="240"/>
      <w:outlineLvl w:val="9"/>
    </w:pPr>
    <w:rPr>
      <w:noProof/>
      <w:sz w:val="24"/>
    </w:rPr>
  </w:style>
  <w:style w:type="paragraph" w:customStyle="1" w:styleId="MiniTOCItem">
    <w:name w:val="MiniTOCItem"/>
    <w:basedOn w:val="ListBullet"/>
    <w:rsid w:val="007000EB"/>
    <w:pPr>
      <w:numPr>
        <w:numId w:val="0"/>
      </w:numPr>
      <w:tabs>
        <w:tab w:val="right" w:leader="dot" w:pos="6521"/>
      </w:tabs>
      <w:spacing w:before="0" w:after="0"/>
    </w:pPr>
  </w:style>
  <w:style w:type="paragraph" w:customStyle="1" w:styleId="TOFTitle">
    <w:name w:val="TOFTitle"/>
    <w:basedOn w:val="TOCTitle"/>
    <w:rsid w:val="007000EB"/>
  </w:style>
  <w:style w:type="paragraph" w:styleId="TableofFigures">
    <w:name w:val="table of figures"/>
    <w:basedOn w:val="Normal"/>
    <w:next w:val="Normal"/>
    <w:semiHidden/>
    <w:rsid w:val="007000EB"/>
    <w:pPr>
      <w:tabs>
        <w:tab w:val="right" w:leader="dot" w:pos="9072"/>
      </w:tabs>
      <w:ind w:left="970" w:hanging="403"/>
    </w:pPr>
    <w:rPr>
      <w:rFonts w:ascii="Times New Roman" w:hAnsi="Times New Roman"/>
      <w:b/>
    </w:rPr>
  </w:style>
  <w:style w:type="paragraph" w:styleId="ListNumber">
    <w:name w:val="List Number"/>
    <w:basedOn w:val="List"/>
    <w:rsid w:val="007000EB"/>
    <w:pPr>
      <w:numPr>
        <w:numId w:val="14"/>
      </w:numPr>
      <w:tabs>
        <w:tab w:val="clear" w:pos="340"/>
      </w:tabs>
    </w:pPr>
  </w:style>
  <w:style w:type="character" w:customStyle="1" w:styleId="WingdingSymbols">
    <w:name w:val="Wingding Symbols"/>
    <w:rsid w:val="007000EB"/>
    <w:rPr>
      <w:rFonts w:ascii="Wingdings" w:hAnsi="Wingdings"/>
    </w:rPr>
  </w:style>
  <w:style w:type="paragraph" w:customStyle="1" w:styleId="TableHeading">
    <w:name w:val="Table Heading"/>
    <w:basedOn w:val="HeadingBase"/>
    <w:rsid w:val="007000EB"/>
    <w:pPr>
      <w:keepLines/>
      <w:pBdr>
        <w:bottom w:val="single" w:sz="6" w:space="1" w:color="918585"/>
      </w:pBdr>
      <w:spacing w:before="240"/>
    </w:pPr>
  </w:style>
  <w:style w:type="character" w:customStyle="1" w:styleId="HotSpot">
    <w:name w:val="HotSpot"/>
    <w:rsid w:val="007000EB"/>
    <w:rPr>
      <w:color w:val="0033CC"/>
      <w:u w:val="none"/>
    </w:rPr>
  </w:style>
  <w:style w:type="paragraph" w:customStyle="1" w:styleId="BodyTextRight">
    <w:name w:val="Body Text Right"/>
    <w:basedOn w:val="BodyText"/>
    <w:rsid w:val="007000EB"/>
    <w:pPr>
      <w:spacing w:before="0" w:after="0"/>
      <w:jc w:val="right"/>
    </w:pPr>
  </w:style>
  <w:style w:type="paragraph" w:styleId="Index3">
    <w:name w:val="index 3"/>
    <w:basedOn w:val="ListNumber2"/>
    <w:next w:val="Normal"/>
    <w:semiHidden/>
    <w:rsid w:val="007000EB"/>
    <w:pPr>
      <w:numPr>
        <w:numId w:val="0"/>
      </w:numPr>
      <w:tabs>
        <w:tab w:val="right" w:leader="dot" w:pos="4176"/>
      </w:tabs>
    </w:pPr>
  </w:style>
  <w:style w:type="paragraph" w:styleId="ListNumber2">
    <w:name w:val="List Number 2"/>
    <w:basedOn w:val="List2"/>
    <w:rsid w:val="007000EB"/>
    <w:pPr>
      <w:numPr>
        <w:numId w:val="9"/>
      </w:numPr>
      <w:tabs>
        <w:tab w:val="clear" w:pos="1060"/>
      </w:tabs>
    </w:pPr>
  </w:style>
  <w:style w:type="paragraph" w:customStyle="1" w:styleId="MarginNote">
    <w:name w:val="Margin Note"/>
    <w:basedOn w:val="BodyText"/>
    <w:rsid w:val="007000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00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00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00EB"/>
    <w:rPr>
      <w:sz w:val="32"/>
    </w:rPr>
  </w:style>
  <w:style w:type="paragraph" w:customStyle="1" w:styleId="HeadingProcedure">
    <w:name w:val="Heading Procedure"/>
    <w:basedOn w:val="HeadingBase"/>
    <w:next w:val="Normal"/>
    <w:rsid w:val="007000EB"/>
    <w:pPr>
      <w:tabs>
        <w:tab w:val="left" w:pos="0"/>
      </w:tabs>
      <w:spacing w:before="120" w:after="60"/>
    </w:pPr>
    <w:rPr>
      <w:i/>
      <w:color w:val="918585"/>
      <w:sz w:val="22"/>
    </w:rPr>
  </w:style>
  <w:style w:type="paragraph" w:customStyle="1" w:styleId="TableBodyText">
    <w:name w:val="Table Body Text"/>
    <w:basedOn w:val="BodyText"/>
    <w:rsid w:val="007000EB"/>
    <w:pPr>
      <w:spacing w:before="60" w:after="60"/>
    </w:pPr>
  </w:style>
  <w:style w:type="paragraph" w:styleId="ListContinue">
    <w:name w:val="List Continue"/>
    <w:basedOn w:val="List"/>
    <w:rsid w:val="007000EB"/>
    <w:pPr>
      <w:ind w:firstLine="0"/>
    </w:pPr>
  </w:style>
  <w:style w:type="paragraph" w:customStyle="1" w:styleId="ListNote">
    <w:name w:val="List Note"/>
    <w:basedOn w:val="List"/>
    <w:rsid w:val="007000EB"/>
    <w:pPr>
      <w:pBdr>
        <w:top w:val="single" w:sz="6" w:space="2" w:color="918585"/>
        <w:bottom w:val="single" w:sz="6" w:space="2" w:color="918585"/>
      </w:pBdr>
      <w:tabs>
        <w:tab w:val="left" w:pos="1021"/>
      </w:tabs>
      <w:ind w:firstLine="0"/>
    </w:pPr>
  </w:style>
  <w:style w:type="paragraph" w:customStyle="1" w:styleId="Warning">
    <w:name w:val="Warning"/>
    <w:basedOn w:val="BodyText"/>
    <w:rsid w:val="007000EB"/>
    <w:pPr>
      <w:shd w:val="clear" w:color="auto" w:fill="D9D9D9"/>
      <w:tabs>
        <w:tab w:val="left" w:pos="992"/>
      </w:tabs>
      <w:ind w:left="119" w:right="119"/>
    </w:pPr>
    <w:rPr>
      <w:sz w:val="20"/>
    </w:rPr>
  </w:style>
  <w:style w:type="paragraph" w:customStyle="1" w:styleId="MarginIcons">
    <w:name w:val="Margin Icons"/>
    <w:basedOn w:val="BodyText"/>
    <w:rsid w:val="007000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00EB"/>
    <w:rPr>
      <w:rFonts w:ascii="Courier New" w:hAnsi="Courier New"/>
    </w:rPr>
  </w:style>
  <w:style w:type="paragraph" w:customStyle="1" w:styleId="NoteBullet">
    <w:name w:val="Note Bullet"/>
    <w:basedOn w:val="Note"/>
    <w:rsid w:val="007000EB"/>
    <w:pPr>
      <w:tabs>
        <w:tab w:val="clear" w:pos="680"/>
      </w:tabs>
      <w:spacing w:before="60" w:after="60"/>
    </w:pPr>
  </w:style>
  <w:style w:type="paragraph" w:customStyle="1" w:styleId="SubHeading2">
    <w:name w:val="SubHeading2"/>
    <w:basedOn w:val="HeadingBase"/>
    <w:rsid w:val="007000EB"/>
    <w:pPr>
      <w:spacing w:before="240" w:after="60"/>
    </w:pPr>
    <w:rPr>
      <w:sz w:val="20"/>
    </w:rPr>
  </w:style>
  <w:style w:type="paragraph" w:customStyle="1" w:styleId="SubHeading1">
    <w:name w:val="SubHeading1"/>
    <w:basedOn w:val="HeadingBase"/>
    <w:rsid w:val="007000EB"/>
    <w:pPr>
      <w:spacing w:before="240" w:after="60"/>
    </w:pPr>
    <w:rPr>
      <w:color w:val="918585"/>
      <w:sz w:val="22"/>
    </w:rPr>
  </w:style>
  <w:style w:type="paragraph" w:customStyle="1" w:styleId="SideHeading">
    <w:name w:val="Side Heading"/>
    <w:basedOn w:val="HeadingBase"/>
    <w:rsid w:val="007000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00EB"/>
    <w:pPr>
      <w:numPr>
        <w:numId w:val="10"/>
      </w:numPr>
    </w:pPr>
  </w:style>
  <w:style w:type="paragraph" w:styleId="PlainText">
    <w:name w:val="Plain Text"/>
    <w:basedOn w:val="Normal"/>
    <w:link w:val="PlainTextChar"/>
    <w:rsid w:val="007000EB"/>
    <w:rPr>
      <w:sz w:val="20"/>
    </w:rPr>
  </w:style>
  <w:style w:type="character" w:customStyle="1" w:styleId="PlainTextChar">
    <w:name w:val="Plain Text Char"/>
    <w:basedOn w:val="DefaultParagraphFont"/>
    <w:link w:val="PlainText"/>
    <w:rsid w:val="007000EB"/>
    <w:rPr>
      <w:rFonts w:ascii="Courier New" w:eastAsia="Times New Roman" w:hAnsi="Courier New" w:cs="Times New Roman"/>
      <w:sz w:val="20"/>
      <w:szCs w:val="20"/>
      <w:lang w:eastAsia="en-US"/>
    </w:rPr>
  </w:style>
  <w:style w:type="character" w:customStyle="1" w:styleId="MenuOption">
    <w:name w:val="Menu Option"/>
    <w:basedOn w:val="DefaultParagraphFont"/>
    <w:rsid w:val="007000EB"/>
    <w:rPr>
      <w:b/>
      <w:smallCaps/>
    </w:rPr>
  </w:style>
  <w:style w:type="paragraph" w:customStyle="1" w:styleId="TableListNumber">
    <w:name w:val="Table List Number"/>
    <w:basedOn w:val="ListNumber"/>
    <w:rsid w:val="007000EB"/>
    <w:pPr>
      <w:numPr>
        <w:numId w:val="0"/>
      </w:numPr>
    </w:pPr>
  </w:style>
  <w:style w:type="paragraph" w:styleId="TOC4">
    <w:name w:val="toc 4"/>
    <w:basedOn w:val="TOCBase"/>
    <w:next w:val="Normal"/>
    <w:semiHidden/>
    <w:rsid w:val="007000EB"/>
    <w:pPr>
      <w:tabs>
        <w:tab w:val="right" w:leader="dot" w:pos="9071"/>
      </w:tabs>
      <w:ind w:left="1701"/>
    </w:pPr>
  </w:style>
  <w:style w:type="paragraph" w:customStyle="1" w:styleId="ListAlpha">
    <w:name w:val="List Alpha"/>
    <w:basedOn w:val="List"/>
    <w:rsid w:val="007000EB"/>
    <w:pPr>
      <w:numPr>
        <w:numId w:val="8"/>
      </w:numPr>
    </w:pPr>
  </w:style>
  <w:style w:type="paragraph" w:customStyle="1" w:styleId="ListAlpha2">
    <w:name w:val="List Alpha 2"/>
    <w:basedOn w:val="List2"/>
    <w:rsid w:val="007000EB"/>
    <w:pPr>
      <w:numPr>
        <w:numId w:val="7"/>
      </w:numPr>
    </w:pPr>
  </w:style>
  <w:style w:type="paragraph" w:styleId="List2">
    <w:name w:val="List 2"/>
    <w:basedOn w:val="BodyText"/>
    <w:rsid w:val="007000EB"/>
    <w:pPr>
      <w:tabs>
        <w:tab w:val="left" w:pos="680"/>
      </w:tabs>
      <w:spacing w:before="60" w:after="60"/>
      <w:ind w:left="680" w:hanging="340"/>
    </w:pPr>
  </w:style>
  <w:style w:type="paragraph" w:styleId="List3">
    <w:name w:val="List 3"/>
    <w:basedOn w:val="BodyText"/>
    <w:rsid w:val="007000EB"/>
    <w:pPr>
      <w:tabs>
        <w:tab w:val="left" w:pos="1021"/>
      </w:tabs>
      <w:spacing w:before="60" w:after="60"/>
      <w:ind w:left="1020" w:hanging="340"/>
    </w:pPr>
  </w:style>
  <w:style w:type="paragraph" w:styleId="List4">
    <w:name w:val="List 4"/>
    <w:basedOn w:val="BodyText"/>
    <w:rsid w:val="007000EB"/>
    <w:pPr>
      <w:tabs>
        <w:tab w:val="left" w:pos="1361"/>
      </w:tabs>
      <w:spacing w:before="60" w:after="60"/>
      <w:ind w:left="1361" w:hanging="340"/>
    </w:pPr>
  </w:style>
  <w:style w:type="paragraph" w:styleId="List5">
    <w:name w:val="List 5"/>
    <w:basedOn w:val="BodyText"/>
    <w:rsid w:val="007000EB"/>
    <w:pPr>
      <w:tabs>
        <w:tab w:val="left" w:pos="1701"/>
      </w:tabs>
      <w:spacing w:before="60" w:after="60"/>
      <w:ind w:left="1701" w:hanging="340"/>
    </w:pPr>
  </w:style>
  <w:style w:type="paragraph" w:styleId="ListBullet3">
    <w:name w:val="List Bullet 3"/>
    <w:basedOn w:val="List3"/>
    <w:rsid w:val="007000EB"/>
    <w:pPr>
      <w:numPr>
        <w:numId w:val="13"/>
      </w:numPr>
      <w:tabs>
        <w:tab w:val="clear" w:pos="1021"/>
      </w:tabs>
      <w:ind w:left="1037" w:hanging="357"/>
    </w:pPr>
  </w:style>
  <w:style w:type="paragraph" w:styleId="ListBullet4">
    <w:name w:val="List Bullet 4"/>
    <w:basedOn w:val="List4"/>
    <w:rsid w:val="007000EB"/>
    <w:pPr>
      <w:numPr>
        <w:numId w:val="2"/>
      </w:numPr>
      <w:tabs>
        <w:tab w:val="clear" w:pos="1361"/>
      </w:tabs>
    </w:pPr>
  </w:style>
  <w:style w:type="paragraph" w:styleId="ListBullet5">
    <w:name w:val="List Bullet 5"/>
    <w:basedOn w:val="List5"/>
    <w:rsid w:val="007000EB"/>
    <w:pPr>
      <w:numPr>
        <w:numId w:val="3"/>
      </w:numPr>
    </w:pPr>
  </w:style>
  <w:style w:type="paragraph" w:styleId="ListContinue2">
    <w:name w:val="List Continue 2"/>
    <w:basedOn w:val="List2"/>
    <w:rsid w:val="007000EB"/>
    <w:pPr>
      <w:ind w:firstLine="0"/>
    </w:pPr>
  </w:style>
  <w:style w:type="paragraph" w:styleId="ListContinue3">
    <w:name w:val="List Continue 3"/>
    <w:basedOn w:val="List3"/>
    <w:rsid w:val="007000EB"/>
    <w:pPr>
      <w:ind w:left="1021" w:firstLine="0"/>
    </w:pPr>
  </w:style>
  <w:style w:type="paragraph" w:styleId="ListContinue4">
    <w:name w:val="List Continue 4"/>
    <w:basedOn w:val="List4"/>
    <w:rsid w:val="007000EB"/>
    <w:pPr>
      <w:ind w:firstLine="0"/>
    </w:pPr>
  </w:style>
  <w:style w:type="paragraph" w:styleId="ListContinue5">
    <w:name w:val="List Continue 5"/>
    <w:basedOn w:val="List5"/>
    <w:rsid w:val="007000EB"/>
    <w:pPr>
      <w:ind w:firstLine="0"/>
    </w:pPr>
  </w:style>
  <w:style w:type="paragraph" w:styleId="ListNumber3">
    <w:name w:val="List Number 3"/>
    <w:basedOn w:val="List3"/>
    <w:rsid w:val="007000EB"/>
    <w:pPr>
      <w:numPr>
        <w:numId w:val="4"/>
      </w:numPr>
    </w:pPr>
  </w:style>
  <w:style w:type="paragraph" w:styleId="ListNumber4">
    <w:name w:val="List Number 4"/>
    <w:basedOn w:val="List4"/>
    <w:rsid w:val="007000EB"/>
    <w:pPr>
      <w:numPr>
        <w:numId w:val="5"/>
      </w:numPr>
    </w:pPr>
  </w:style>
  <w:style w:type="paragraph" w:styleId="ListNumber5">
    <w:name w:val="List Number 5"/>
    <w:basedOn w:val="List5"/>
    <w:rsid w:val="007000EB"/>
    <w:pPr>
      <w:numPr>
        <w:numId w:val="6"/>
      </w:numPr>
    </w:pPr>
  </w:style>
  <w:style w:type="paragraph" w:styleId="BlockText">
    <w:name w:val="Block Text"/>
    <w:basedOn w:val="Normal"/>
    <w:rsid w:val="007000EB"/>
    <w:pPr>
      <w:spacing w:after="120"/>
      <w:ind w:left="1440" w:right="1440"/>
    </w:pPr>
  </w:style>
  <w:style w:type="character" w:customStyle="1" w:styleId="Subscript">
    <w:name w:val="Subscript"/>
    <w:basedOn w:val="DefaultParagraphFont"/>
    <w:rsid w:val="007000EB"/>
    <w:rPr>
      <w:sz w:val="16"/>
      <w:vertAlign w:val="subscript"/>
    </w:rPr>
  </w:style>
  <w:style w:type="character" w:customStyle="1" w:styleId="Superscript">
    <w:name w:val="Superscript"/>
    <w:basedOn w:val="DefaultParagraphFont"/>
    <w:rsid w:val="007000EB"/>
    <w:rPr>
      <w:sz w:val="16"/>
      <w:vertAlign w:val="superscript"/>
    </w:rPr>
  </w:style>
  <w:style w:type="character" w:customStyle="1" w:styleId="Symbols">
    <w:name w:val="Symbols"/>
    <w:basedOn w:val="DefaultParagraphFont"/>
    <w:rsid w:val="007000EB"/>
    <w:rPr>
      <w:rFonts w:ascii="Symbol" w:hAnsi="Symbol"/>
    </w:rPr>
  </w:style>
  <w:style w:type="character" w:customStyle="1" w:styleId="MenuOptions">
    <w:name w:val="Menu Options"/>
    <w:basedOn w:val="DefaultParagraphFont"/>
    <w:rsid w:val="007000EB"/>
    <w:rPr>
      <w:rFonts w:ascii="Arial Narrow" w:hAnsi="Arial Narrow"/>
      <w:smallCaps/>
    </w:rPr>
  </w:style>
  <w:style w:type="character" w:customStyle="1" w:styleId="Buttons">
    <w:name w:val="Buttons"/>
    <w:basedOn w:val="DefaultParagraphFont"/>
    <w:rsid w:val="007000EB"/>
    <w:rPr>
      <w:b/>
    </w:rPr>
  </w:style>
  <w:style w:type="character" w:customStyle="1" w:styleId="Underlined">
    <w:name w:val="Underlined"/>
    <w:basedOn w:val="DefaultParagraphFont"/>
    <w:rsid w:val="007000EB"/>
    <w:rPr>
      <w:u w:val="single"/>
    </w:rPr>
  </w:style>
  <w:style w:type="paragraph" w:customStyle="1" w:styleId="TableBodyTextRight">
    <w:name w:val="Table Body Text Right"/>
    <w:basedOn w:val="TableBodyText"/>
    <w:rsid w:val="007000EB"/>
    <w:pPr>
      <w:widowControl w:val="0"/>
      <w:autoSpaceDE w:val="0"/>
      <w:autoSpaceDN w:val="0"/>
      <w:adjustRightInd w:val="0"/>
      <w:jc w:val="right"/>
    </w:pPr>
    <w:rPr>
      <w:rFonts w:cs="Arial"/>
      <w:szCs w:val="18"/>
    </w:rPr>
  </w:style>
  <w:style w:type="paragraph" w:customStyle="1" w:styleId="CopyrightText">
    <w:name w:val="Copyright Text"/>
    <w:basedOn w:val="BodyText"/>
    <w:rsid w:val="007000EB"/>
    <w:rPr>
      <w:sz w:val="18"/>
    </w:rPr>
  </w:style>
  <w:style w:type="paragraph" w:customStyle="1" w:styleId="BodySmallRight">
    <w:name w:val="Body Small Right"/>
    <w:basedOn w:val="BodyTextRight"/>
    <w:rsid w:val="007000EB"/>
    <w:rPr>
      <w:sz w:val="18"/>
      <w:szCs w:val="18"/>
    </w:rPr>
  </w:style>
  <w:style w:type="paragraph" w:customStyle="1" w:styleId="MarginEdition">
    <w:name w:val="Margin Edition"/>
    <w:basedOn w:val="MarginNote"/>
    <w:rsid w:val="007000EB"/>
    <w:pPr>
      <w:spacing w:before="0" w:after="0"/>
    </w:pPr>
    <w:rPr>
      <w:rFonts w:ascii="Times New Roman" w:hAnsi="Times New Roman"/>
      <w:color w:val="999999"/>
    </w:rPr>
  </w:style>
  <w:style w:type="paragraph" w:customStyle="1" w:styleId="Spacer">
    <w:name w:val="Spacer"/>
    <w:basedOn w:val="Normal"/>
    <w:rsid w:val="007000EB"/>
    <w:rPr>
      <w:sz w:val="2"/>
      <w:szCs w:val="2"/>
    </w:rPr>
  </w:style>
  <w:style w:type="character" w:customStyle="1" w:styleId="Small">
    <w:name w:val="Small"/>
    <w:basedOn w:val="DefaultParagraphFont"/>
    <w:rsid w:val="007000EB"/>
    <w:rPr>
      <w:sz w:val="16"/>
    </w:rPr>
  </w:style>
  <w:style w:type="paragraph" w:customStyle="1" w:styleId="WideTable">
    <w:name w:val="Wide Table"/>
    <w:basedOn w:val="Normal"/>
    <w:rsid w:val="007000EB"/>
    <w:pPr>
      <w:ind w:left="-1418"/>
    </w:pPr>
    <w:rPr>
      <w:sz w:val="2"/>
      <w:szCs w:val="2"/>
    </w:rPr>
  </w:style>
  <w:style w:type="character" w:styleId="PageNumber">
    <w:name w:val="page number"/>
    <w:basedOn w:val="DefaultParagraphFont"/>
    <w:rsid w:val="007000EB"/>
  </w:style>
  <w:style w:type="paragraph" w:styleId="Quote">
    <w:name w:val="Quote"/>
    <w:basedOn w:val="Heading1"/>
    <w:link w:val="QuoteChar"/>
    <w:qFormat/>
    <w:rsid w:val="007000EB"/>
    <w:rPr>
      <w:b w:val="0"/>
      <w:sz w:val="72"/>
      <w:szCs w:val="72"/>
      <w:lang w:val="en-NZ"/>
    </w:rPr>
  </w:style>
  <w:style w:type="character" w:customStyle="1" w:styleId="QuoteChar">
    <w:name w:val="Quote Char"/>
    <w:basedOn w:val="DefaultParagraphFont"/>
    <w:link w:val="Quote"/>
    <w:rsid w:val="007000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00EB"/>
    <w:pPr>
      <w:pageBreakBefore/>
    </w:pPr>
  </w:style>
  <w:style w:type="paragraph" w:customStyle="1" w:styleId="Border">
    <w:name w:val="Border"/>
    <w:basedOn w:val="Normal"/>
    <w:qFormat/>
    <w:rsid w:val="007000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00EB"/>
    <w:rPr>
      <w:b/>
      <w:bCs/>
      <w:i/>
      <w:iCs/>
      <w:color w:val="auto"/>
    </w:rPr>
  </w:style>
  <w:style w:type="paragraph" w:styleId="IntenseQuote">
    <w:name w:val="Intense Quote"/>
    <w:basedOn w:val="Normal"/>
    <w:next w:val="Normal"/>
    <w:link w:val="IntenseQuoteChar"/>
    <w:uiPriority w:val="30"/>
    <w:qFormat/>
    <w:rsid w:val="007000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00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00EB"/>
    <w:rPr>
      <w:smallCaps/>
      <w:color w:val="auto"/>
      <w:u w:val="single"/>
    </w:rPr>
  </w:style>
  <w:style w:type="character" w:styleId="IntenseReference">
    <w:name w:val="Intense Reference"/>
    <w:basedOn w:val="DefaultParagraphFont"/>
    <w:uiPriority w:val="32"/>
    <w:qFormat/>
    <w:rsid w:val="007000EB"/>
    <w:rPr>
      <w:b/>
      <w:bCs/>
      <w:smallCaps/>
      <w:color w:val="auto"/>
      <w:spacing w:val="5"/>
      <w:u w:val="single"/>
    </w:rPr>
  </w:style>
  <w:style w:type="paragraph" w:customStyle="1" w:styleId="2ColumnHeading">
    <w:name w:val="2Column Heading"/>
    <w:basedOn w:val="BodyText"/>
    <w:qFormat/>
    <w:rsid w:val="007000EB"/>
    <w:pPr>
      <w:spacing w:after="60"/>
      <w:ind w:left="-2268"/>
    </w:pPr>
    <w:rPr>
      <w:b/>
    </w:rPr>
  </w:style>
  <w:style w:type="paragraph" w:customStyle="1" w:styleId="Heading1TOC">
    <w:name w:val="Heading1 TOC"/>
    <w:basedOn w:val="Normal"/>
    <w:qFormat/>
    <w:rsid w:val="007000EB"/>
    <w:pPr>
      <w:spacing w:before="240" w:after="120"/>
    </w:pPr>
    <w:rPr>
      <w:rFonts w:ascii="Times New Roman" w:hAnsi="Times New Roman"/>
      <w:b/>
      <w:sz w:val="32"/>
    </w:rPr>
  </w:style>
  <w:style w:type="paragraph" w:customStyle="1" w:styleId="Heading2TOC">
    <w:name w:val="Heading2 TOC"/>
    <w:basedOn w:val="Normal"/>
    <w:qFormat/>
    <w:rsid w:val="007000EB"/>
    <w:pPr>
      <w:spacing w:before="240" w:after="60"/>
    </w:pPr>
    <w:rPr>
      <w:rFonts w:ascii="Times New Roman" w:hAnsi="Times New Roman"/>
      <w:b/>
      <w:sz w:val="28"/>
    </w:rPr>
  </w:style>
  <w:style w:type="character" w:customStyle="1" w:styleId="Underline">
    <w:name w:val="Underline"/>
    <w:basedOn w:val="DefaultParagraphFont"/>
    <w:qFormat/>
    <w:rsid w:val="007000EB"/>
    <w:rPr>
      <w:u w:val="single"/>
    </w:rPr>
  </w:style>
  <w:style w:type="character" w:customStyle="1" w:styleId="BoldandItalics">
    <w:name w:val="Bold and Italics"/>
    <w:qFormat/>
    <w:rsid w:val="007000EB"/>
    <w:rPr>
      <w:b/>
      <w:i/>
      <w:u w:val="none"/>
    </w:rPr>
  </w:style>
  <w:style w:type="paragraph" w:styleId="BalloonText">
    <w:name w:val="Balloon Text"/>
    <w:basedOn w:val="Normal"/>
    <w:link w:val="BalloonTextChar"/>
    <w:rsid w:val="007000EB"/>
    <w:rPr>
      <w:rFonts w:ascii="Tahoma" w:hAnsi="Tahoma" w:cs="Tahoma"/>
      <w:sz w:val="16"/>
      <w:szCs w:val="16"/>
    </w:rPr>
  </w:style>
  <w:style w:type="character" w:customStyle="1" w:styleId="BalloonTextChar">
    <w:name w:val="Balloon Text Char"/>
    <w:basedOn w:val="DefaultParagraphFont"/>
    <w:link w:val="BalloonText"/>
    <w:rsid w:val="007000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00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00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00EB"/>
    <w:rPr>
      <w:b/>
      <w:color w:val="660033"/>
      <w:spacing w:val="0"/>
    </w:rPr>
  </w:style>
  <w:style w:type="paragraph" w:customStyle="1" w:styleId="Nameditemlist">
    <w:name w:val="Named item list"/>
    <w:basedOn w:val="BodyText"/>
    <w:qFormat/>
    <w:rsid w:val="007000EB"/>
    <w:pPr>
      <w:tabs>
        <w:tab w:val="left" w:pos="2835"/>
      </w:tabs>
      <w:ind w:left="2835" w:hanging="2835"/>
    </w:pPr>
  </w:style>
  <w:style w:type="paragraph" w:customStyle="1" w:styleId="BodyTextnopadding">
    <w:name w:val="Body Text no padding"/>
    <w:basedOn w:val="BodyText"/>
    <w:qFormat/>
    <w:rsid w:val="007000EB"/>
    <w:pPr>
      <w:spacing w:before="0" w:after="0"/>
    </w:pPr>
  </w:style>
  <w:style w:type="paragraph" w:customStyle="1" w:styleId="BodyTextBold">
    <w:name w:val="Body Text Bold"/>
    <w:basedOn w:val="BodyText"/>
    <w:qFormat/>
    <w:rsid w:val="007000EB"/>
    <w:rPr>
      <w:b/>
    </w:rPr>
  </w:style>
  <w:style w:type="character" w:styleId="Hyperlink">
    <w:name w:val="Hyperlink"/>
    <w:basedOn w:val="DefaultParagraphFont"/>
    <w:uiPriority w:val="99"/>
    <w:unhideWhenUsed/>
    <w:rsid w:val="00002D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851</Words>
  <Characters>5375</Characters>
  <Application>Microsoft Office Word</Application>
  <DocSecurity>0</DocSecurity>
  <Lines>282</Lines>
  <Paragraphs>163</Paragraphs>
  <ScaleCrop>false</ScaleCrop>
  <Company>Author-it Software Corporation Ltd.</Company>
  <LinksUpToDate>false</LinksUpToDate>
  <CharactersWithSpaces>6063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MSS405053 Manage application of six sigma for process control and improvement</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2023-02-22T01:10:00Z</dcterms:created>
  <dcterms:modified xsi:type="dcterms:W3CDTF">2023-02-22T01:10:00Z</dcterms:modified>
</cp:coreProperties>
</file>