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59BF" w:rsidP="001559BF">
      <w:pPr>
        <w:pStyle w:val="Title"/>
      </w:pPr>
      <w:r>
        <w:fldChar w:fldCharType="begin"/>
      </w:r>
      <w:r>
        <w:instrText xml:space="preserve"> TITLE   \* MERGEFORMAT </w:instrText>
      </w:r>
      <w:r>
        <w:fldChar w:fldCharType="separate"/>
      </w:r>
      <w:r>
        <w:t>MSS405022 Design a process layout</w:t>
      </w:r>
      <w:r>
        <w:fldChar w:fldCharType="end"/>
      </w:r>
    </w:p>
    <w:p w:rsidR="001559BF" w:rsidP="001559BF">
      <w:pPr>
        <w:pStyle w:val="Version"/>
        <w:sectPr w:rsidSect="00CD2D0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2D02" w:rsidP="00CD2D02">
      <w:pPr>
        <w:pStyle w:val="SuperHeading"/>
      </w:pPr>
      <w:r w:rsidRPr="00CD2D02">
        <w:t>MSS405022 Design a process layout</w:t>
      </w:r>
    </w:p>
    <w:p w:rsidR="00000000" w:rsidRPr="00CD2D02" w:rsidP="00CD2D02">
      <w:pPr>
        <w:pStyle w:val="Heading1"/>
      </w:pPr>
      <w:bookmarkStart w:id="1" w:name="O_921233"/>
      <w:bookmarkEnd w:id="1"/>
      <w:r w:rsidRPr="00CD2D02">
        <w:t>Modification History</w:t>
      </w:r>
    </w:p>
    <w:p w:rsidR="00000000" w:rsidRPr="00CD2D02" w:rsidP="001559BF">
      <w:pPr>
        <w:pStyle w:val="BodyText"/>
      </w:pPr>
      <w:r w:rsidRPr="00CD2D02">
        <w:t>Release 1. Supersedes and is equivalent to MSS405022A Design a process layout</w:t>
      </w:r>
    </w:p>
    <w:p w:rsidR="00000000" w:rsidRPr="00CD2D02" w:rsidP="00CD2D02">
      <w:pPr>
        <w:pStyle w:val="Heading1"/>
      </w:pPr>
      <w:bookmarkStart w:id="2" w:name="O_921241"/>
      <w:bookmarkEnd w:id="2"/>
      <w:r w:rsidRPr="00CD2D02">
        <w:t>Application</w:t>
      </w:r>
    </w:p>
    <w:p w:rsidR="00000000" w:rsidRPr="00CD2D02" w:rsidP="001559BF">
      <w:pPr>
        <w:pStyle w:val="BodyText"/>
      </w:pPr>
      <w:r w:rsidRPr="00CD2D02">
        <w:t>This unit of competency covers the skills and knowledge required to design a process layout, typically a cellular flow, for eith</w:t>
      </w:r>
      <w:r w:rsidRPr="00CD2D02">
        <w:t>er a jobbing shop or a continuous process manufacturer. This unit provides the skill for a technical expert to apply the principles of competitive systems and practices to process design layout as distinct from volume production layout. While the applicati</w:t>
      </w:r>
      <w:r w:rsidRPr="00CD2D02">
        <w:t>on of the unit may be for an initial layout, in many cases it is likely to be for the redesign of an existing layout.</w:t>
      </w:r>
    </w:p>
    <w:p w:rsidR="00000000" w:rsidRPr="00CD2D02" w:rsidP="001559BF">
      <w:pPr>
        <w:pStyle w:val="BodyText"/>
      </w:pPr>
      <w:r w:rsidRPr="00CD2D02">
        <w:t>The unit is written on the assumption that there is an existing process. Where this is not the case, then additional competency in equipm</w:t>
      </w:r>
      <w:r w:rsidRPr="00CD2D02">
        <w:t>ent/process design and selection will also be required through units from an appropriate technical qualification or Training Package.</w:t>
      </w:r>
    </w:p>
    <w:p w:rsidR="00000000" w:rsidRPr="00CD2D02" w:rsidP="001559BF">
      <w:pPr>
        <w:pStyle w:val="BodyText"/>
      </w:pPr>
      <w:r w:rsidRPr="00CD2D02">
        <w:t>This unit requires the application of skills associated with problem solving, initiative, enterprise, planning and organi</w:t>
      </w:r>
      <w:r w:rsidRPr="00CD2D02">
        <w:t>sing in order to design a process for the manufacture of enterprise products that incorporates team operations, product flow, infrastructure and the layout of the physical environment and related technology. This unit has a strong emphasis on gathering, an</w:t>
      </w:r>
      <w:r w:rsidRPr="00CD2D02">
        <w:t>alysing and applying information.</w:t>
      </w:r>
    </w:p>
    <w:p w:rsidR="00000000" w:rsidRPr="00CD2D02" w:rsidP="001559BF">
      <w:pPr>
        <w:pStyle w:val="BodyText"/>
      </w:pPr>
      <w:r w:rsidRPr="00CD2D02">
        <w:t>No licensing, legislative or certification requirements apply to this unit at the time of publication.</w:t>
      </w:r>
    </w:p>
    <w:p w:rsidR="00000000" w:rsidRPr="00CD2D02" w:rsidP="00CD2D02">
      <w:pPr>
        <w:pStyle w:val="Heading1"/>
      </w:pPr>
      <w:bookmarkStart w:id="3" w:name="O_921240"/>
      <w:bookmarkEnd w:id="3"/>
      <w:r w:rsidRPr="00CD2D02">
        <w:t>Pre-requisite Unit</w:t>
      </w:r>
    </w:p>
    <w:p w:rsidR="00000000" w:rsidRPr="00CD2D02" w:rsidP="001559BF">
      <w:pPr>
        <w:pStyle w:val="BodyText"/>
      </w:pPr>
      <w:r w:rsidRPr="00CD2D02">
        <w:t>Nil</w:t>
      </w:r>
    </w:p>
    <w:p w:rsidR="00000000" w:rsidRPr="00CD2D02" w:rsidP="00CD2D02">
      <w:pPr>
        <w:pStyle w:val="Heading1"/>
      </w:pPr>
      <w:bookmarkStart w:id="4" w:name="O_921239"/>
      <w:bookmarkEnd w:id="4"/>
      <w:r w:rsidRPr="00CD2D02">
        <w:t>Competency Field</w:t>
      </w:r>
    </w:p>
    <w:p w:rsidR="00000000" w:rsidRPr="00CD2D02" w:rsidP="001559BF">
      <w:pPr>
        <w:pStyle w:val="BodyText"/>
      </w:pPr>
      <w:r w:rsidRPr="00CD2D02">
        <w:t>Competitive systems and practices</w:t>
      </w:r>
    </w:p>
    <w:p w:rsidR="00000000" w:rsidRPr="00CD2D02" w:rsidP="00CD2D02">
      <w:pPr>
        <w:pStyle w:val="Heading1"/>
      </w:pPr>
      <w:bookmarkStart w:id="5" w:name="O_921238"/>
      <w:bookmarkEnd w:id="5"/>
      <w:r w:rsidRPr="00CD2D02">
        <w:t>Unit Sector</w:t>
      </w:r>
    </w:p>
    <w:p w:rsidR="00000000" w:rsidRPr="00CD2D02" w:rsidP="001559BF">
      <w:pPr>
        <w:pStyle w:val="BodyText"/>
      </w:pPr>
      <w:r w:rsidRPr="00CD2D02">
        <w:t>Not applicable</w:t>
      </w:r>
    </w:p>
    <w:p w:rsidR="00000000" w:rsidRPr="00CD2D02" w:rsidP="00CD2D02">
      <w:pPr>
        <w:pStyle w:val="Heading1"/>
      </w:pPr>
      <w:bookmarkStart w:id="6" w:name="O_921237"/>
      <w:bookmarkEnd w:id="6"/>
      <w:r w:rsidRPr="00CD2D0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D2D0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D2D02">
            <w:pPr>
              <w:pStyle w:val="BodyText"/>
              <w:rPr>
                <w:lang w:val="en-NZ"/>
              </w:rPr>
            </w:pPr>
            <w:r w:rsidRPr="00CD2D0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D2D02">
            <w:pPr>
              <w:pStyle w:val="BodyText"/>
              <w:rPr>
                <w:lang w:val="en-NZ"/>
              </w:rPr>
            </w:pPr>
            <w:r w:rsidRPr="00CD2D02">
              <w:t>Performance criteria describe the performance needed to demonstrate achievement of the element.</w:t>
            </w:r>
          </w:p>
        </w:tc>
      </w:tr>
      <w:tr w:rsidTr="00CD2D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D2D02" w:rsidP="00CD2D02">
            <w:pPr>
              <w:pStyle w:val="BodyText"/>
            </w:pPr>
            <w:r w:rsidRPr="00CD2D02">
              <w:t>1</w:t>
            </w:r>
          </w:p>
        </w:tc>
        <w:tc>
          <w:tcPr>
            <w:tcW w:w="1962" w:type="dxa"/>
            <w:vMerge w:val="restart"/>
            <w:tcBorders>
              <w:top w:val="nil"/>
              <w:left w:val="nil"/>
              <w:bottom w:val="nil"/>
              <w:right w:val="nil"/>
            </w:tcBorders>
            <w:tcMar>
              <w:top w:w="0" w:type="dxa"/>
              <w:left w:w="62" w:type="dxa"/>
              <w:bottom w:w="0" w:type="dxa"/>
              <w:right w:w="62" w:type="dxa"/>
            </w:tcMar>
          </w:tcPr>
          <w:p w:rsidR="00000000" w:rsidP="00CD2D02">
            <w:pPr>
              <w:pStyle w:val="BodyText"/>
              <w:rPr>
                <w:lang w:val="en-NZ"/>
              </w:rPr>
            </w:pPr>
            <w:r w:rsidRPr="00CD2D02">
              <w:rPr>
                <w:rStyle w:val="SpecialBold"/>
              </w:rPr>
              <w:t>Identify the products and processes used in the organisation</w:t>
            </w:r>
          </w:p>
        </w:tc>
        <w:tc>
          <w:tcPr>
            <w:tcW w:w="770" w:type="dxa"/>
            <w:tcBorders>
              <w:top w:val="nil"/>
              <w:left w:val="nil"/>
              <w:bottom w:val="nil"/>
              <w:right w:val="nil"/>
            </w:tcBorders>
            <w:tcMar>
              <w:top w:w="0" w:type="dxa"/>
              <w:left w:w="62" w:type="dxa"/>
              <w:bottom w:w="0" w:type="dxa"/>
              <w:right w:w="62" w:type="dxa"/>
            </w:tcMar>
          </w:tcPr>
          <w:p w:rsidR="00000000" w:rsidP="00CD2D02">
            <w:pPr>
              <w:pStyle w:val="BodyText"/>
              <w:rPr>
                <w:lang w:val="en-NZ"/>
              </w:rPr>
            </w:pPr>
            <w:r w:rsidRPr="00CD2D02">
              <w:t>1.1</w:t>
            </w:r>
          </w:p>
        </w:tc>
        <w:tc>
          <w:tcPr>
            <w:tcW w:w="5610" w:type="dxa"/>
            <w:tcBorders>
              <w:top w:val="nil"/>
              <w:left w:val="nil"/>
              <w:bottom w:val="nil"/>
              <w:right w:val="nil"/>
            </w:tcBorders>
            <w:tcMar>
              <w:top w:w="0" w:type="dxa"/>
              <w:left w:w="62" w:type="dxa"/>
              <w:bottom w:w="0" w:type="dxa"/>
              <w:right w:w="62" w:type="dxa"/>
            </w:tcMar>
          </w:tcPr>
          <w:p w:rsidR="00000000" w:rsidP="00CD2D02">
            <w:pPr>
              <w:pStyle w:val="BodyText"/>
              <w:rPr>
                <w:lang w:val="en-NZ"/>
              </w:rPr>
            </w:pPr>
            <w:r w:rsidRPr="00CD2D02">
              <w:t>Obtain or develop a process map of the existing process.</w:t>
            </w:r>
          </w:p>
        </w:tc>
      </w:tr>
      <w:tr w:rsidTr="00CD2D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2D02">
            <w:pPr>
              <w:pStyle w:val="BodyText"/>
              <w:rPr>
                <w:lang w:val="en-NZ"/>
              </w:rPr>
            </w:pPr>
            <w:r w:rsidRPr="00CD2D02">
              <w:t>1.2</w:t>
            </w:r>
          </w:p>
        </w:tc>
        <w:tc>
          <w:tcPr>
            <w:tcW w:w="5610" w:type="dxa"/>
            <w:tcBorders>
              <w:top w:val="nil"/>
              <w:left w:val="nil"/>
              <w:bottom w:val="nil"/>
              <w:right w:val="nil"/>
            </w:tcBorders>
            <w:tcMar>
              <w:top w:w="0" w:type="dxa"/>
              <w:left w:w="62" w:type="dxa"/>
              <w:bottom w:w="0" w:type="dxa"/>
              <w:right w:w="62" w:type="dxa"/>
            </w:tcMar>
          </w:tcPr>
          <w:p w:rsidR="00000000" w:rsidP="00CD2D02">
            <w:pPr>
              <w:pStyle w:val="BodyText"/>
              <w:rPr>
                <w:lang w:val="en-NZ"/>
              </w:rPr>
            </w:pPr>
            <w:r w:rsidRPr="00CD2D02">
              <w:t>Identify all/main products/classes of products.</w:t>
            </w:r>
          </w:p>
        </w:tc>
      </w:tr>
      <w:tr w:rsidTr="00CD2D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2D02">
            <w:pPr>
              <w:pStyle w:val="BodyText"/>
              <w:rPr>
                <w:lang w:val="en-NZ"/>
              </w:rPr>
            </w:pPr>
            <w:r w:rsidRPr="00CD2D02">
              <w:t>1.3</w:t>
            </w:r>
          </w:p>
        </w:tc>
        <w:tc>
          <w:tcPr>
            <w:tcW w:w="5610" w:type="dxa"/>
            <w:tcBorders>
              <w:top w:val="nil"/>
              <w:left w:val="nil"/>
              <w:bottom w:val="nil"/>
              <w:right w:val="nil"/>
            </w:tcBorders>
            <w:tcMar>
              <w:top w:w="0" w:type="dxa"/>
              <w:left w:w="62" w:type="dxa"/>
              <w:bottom w:w="0" w:type="dxa"/>
              <w:right w:w="62" w:type="dxa"/>
            </w:tcMar>
          </w:tcPr>
          <w:p w:rsidR="00000000" w:rsidP="00CD2D02">
            <w:pPr>
              <w:pStyle w:val="BodyText"/>
              <w:rPr>
                <w:lang w:val="en-NZ"/>
              </w:rPr>
            </w:pPr>
            <w:r w:rsidRPr="00CD2D02">
              <w:t>Obtain forecast sales and sales pattern of products/classes.</w:t>
            </w:r>
          </w:p>
        </w:tc>
      </w:tr>
      <w:tr w:rsidTr="00CD2D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2D02">
            <w:pPr>
              <w:pStyle w:val="BodyText"/>
              <w:rPr>
                <w:lang w:val="en-NZ"/>
              </w:rPr>
            </w:pPr>
            <w:r w:rsidRPr="00CD2D02">
              <w:t>1.4</w:t>
            </w:r>
          </w:p>
        </w:tc>
        <w:tc>
          <w:tcPr>
            <w:tcW w:w="5610" w:type="dxa"/>
            <w:tcBorders>
              <w:top w:val="nil"/>
              <w:left w:val="nil"/>
              <w:bottom w:val="nil"/>
              <w:right w:val="nil"/>
            </w:tcBorders>
            <w:tcMar>
              <w:top w:w="0" w:type="dxa"/>
              <w:left w:w="62" w:type="dxa"/>
              <w:bottom w:w="0" w:type="dxa"/>
              <w:right w:w="62" w:type="dxa"/>
            </w:tcMar>
          </w:tcPr>
          <w:p w:rsidR="00000000" w:rsidP="00CD2D02">
            <w:pPr>
              <w:pStyle w:val="BodyText"/>
              <w:rPr>
                <w:lang w:val="en-NZ"/>
              </w:rPr>
            </w:pPr>
            <w:r w:rsidRPr="00CD2D02">
              <w:t>Obtain profiles of products/classes.</w:t>
            </w:r>
          </w:p>
        </w:tc>
      </w:tr>
      <w:tr w:rsidTr="00CD2D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2D02">
            <w:pPr>
              <w:pStyle w:val="BodyText"/>
              <w:rPr>
                <w:lang w:val="en-NZ"/>
              </w:rPr>
            </w:pPr>
            <w:r w:rsidRPr="00CD2D02">
              <w:t>1.5</w:t>
            </w:r>
          </w:p>
        </w:tc>
        <w:tc>
          <w:tcPr>
            <w:tcW w:w="5610" w:type="dxa"/>
            <w:tcBorders>
              <w:top w:val="nil"/>
              <w:left w:val="nil"/>
              <w:bottom w:val="nil"/>
              <w:right w:val="nil"/>
            </w:tcBorders>
            <w:tcMar>
              <w:top w:w="0" w:type="dxa"/>
              <w:left w:w="62" w:type="dxa"/>
              <w:bottom w:w="0" w:type="dxa"/>
              <w:right w:w="62" w:type="dxa"/>
            </w:tcMar>
          </w:tcPr>
          <w:p w:rsidR="00000000" w:rsidP="00CD2D02">
            <w:pPr>
              <w:pStyle w:val="BodyText"/>
              <w:rPr>
                <w:lang w:val="en-NZ"/>
              </w:rPr>
            </w:pPr>
            <w:r w:rsidRPr="00CD2D02">
              <w:t>Group the products/classes into compatible families.</w:t>
            </w:r>
          </w:p>
        </w:tc>
      </w:tr>
      <w:tr w:rsidTr="00CD2D0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D2D02">
            <w:pPr>
              <w:pStyle w:val="BodyText"/>
              <w:rPr>
                <w:lang w:val="en-NZ"/>
              </w:rPr>
            </w:pPr>
          </w:p>
        </w:tc>
      </w:tr>
      <w:tr w:rsidTr="00CD2D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D2D02" w:rsidP="00CD2D02">
            <w:pPr>
              <w:pStyle w:val="BodyText"/>
            </w:pPr>
            <w:r w:rsidRPr="00CD2D02">
              <w:t>2</w:t>
            </w:r>
          </w:p>
        </w:tc>
        <w:tc>
          <w:tcPr>
            <w:tcW w:w="1962" w:type="dxa"/>
            <w:vMerge w:val="restart"/>
            <w:tcBorders>
              <w:top w:val="nil"/>
              <w:left w:val="nil"/>
              <w:bottom w:val="nil"/>
              <w:right w:val="nil"/>
            </w:tcBorders>
            <w:tcMar>
              <w:top w:w="0" w:type="dxa"/>
              <w:left w:w="62" w:type="dxa"/>
              <w:bottom w:w="0" w:type="dxa"/>
              <w:right w:w="62" w:type="dxa"/>
            </w:tcMar>
          </w:tcPr>
          <w:p w:rsidR="00000000" w:rsidP="00CD2D02">
            <w:pPr>
              <w:pStyle w:val="BodyText"/>
              <w:rPr>
                <w:lang w:val="en-NZ"/>
              </w:rPr>
            </w:pPr>
            <w:r w:rsidRPr="00CD2D02">
              <w:rPr>
                <w:rStyle w:val="SpecialBold"/>
              </w:rPr>
              <w:t>Engineer the process</w:t>
            </w:r>
          </w:p>
        </w:tc>
        <w:tc>
          <w:tcPr>
            <w:tcW w:w="770" w:type="dxa"/>
            <w:tcBorders>
              <w:top w:val="nil"/>
              <w:left w:val="nil"/>
              <w:bottom w:val="nil"/>
              <w:right w:val="nil"/>
            </w:tcBorders>
            <w:tcMar>
              <w:top w:w="0" w:type="dxa"/>
              <w:left w:w="62" w:type="dxa"/>
              <w:bottom w:w="0" w:type="dxa"/>
              <w:right w:w="62" w:type="dxa"/>
            </w:tcMar>
          </w:tcPr>
          <w:p w:rsidR="00000000" w:rsidP="00CD2D02">
            <w:pPr>
              <w:pStyle w:val="BodyText"/>
              <w:rPr>
                <w:lang w:val="en-NZ"/>
              </w:rPr>
            </w:pPr>
            <w:r w:rsidRPr="00CD2D02">
              <w:t>2.1</w:t>
            </w:r>
          </w:p>
        </w:tc>
        <w:tc>
          <w:tcPr>
            <w:tcW w:w="5610" w:type="dxa"/>
            <w:tcBorders>
              <w:top w:val="nil"/>
              <w:left w:val="nil"/>
              <w:bottom w:val="nil"/>
              <w:right w:val="nil"/>
            </w:tcBorders>
            <w:tcMar>
              <w:top w:w="0" w:type="dxa"/>
              <w:left w:w="62" w:type="dxa"/>
              <w:bottom w:w="0" w:type="dxa"/>
              <w:right w:w="62" w:type="dxa"/>
            </w:tcMar>
          </w:tcPr>
          <w:p w:rsidR="00000000" w:rsidP="00CD2D02">
            <w:pPr>
              <w:pStyle w:val="BodyText"/>
              <w:rPr>
                <w:lang w:val="en-NZ"/>
              </w:rPr>
            </w:pPr>
            <w:r w:rsidRPr="00CD2D02">
              <w:t>Make a preliminary selection of required equipment/technology/ process for each process or product family.</w:t>
            </w:r>
          </w:p>
        </w:tc>
      </w:tr>
      <w:tr w:rsidTr="00CD2D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2D02">
            <w:pPr>
              <w:pStyle w:val="BodyText"/>
              <w:rPr>
                <w:lang w:val="en-NZ"/>
              </w:rPr>
            </w:pPr>
            <w:r w:rsidRPr="00CD2D02">
              <w:t>2.2</w:t>
            </w:r>
          </w:p>
        </w:tc>
        <w:tc>
          <w:tcPr>
            <w:tcW w:w="5610" w:type="dxa"/>
            <w:tcBorders>
              <w:top w:val="nil"/>
              <w:left w:val="nil"/>
              <w:bottom w:val="nil"/>
              <w:right w:val="nil"/>
            </w:tcBorders>
            <w:tcMar>
              <w:top w:w="0" w:type="dxa"/>
              <w:left w:w="62" w:type="dxa"/>
              <w:bottom w:w="0" w:type="dxa"/>
              <w:right w:w="62" w:type="dxa"/>
            </w:tcMar>
          </w:tcPr>
          <w:p w:rsidR="00000000" w:rsidP="00CD2D02">
            <w:pPr>
              <w:pStyle w:val="BodyText"/>
              <w:rPr>
                <w:lang w:val="en-NZ"/>
              </w:rPr>
            </w:pPr>
            <w:r w:rsidRPr="00CD2D02">
              <w:t>Estimate required resource times for each family.</w:t>
            </w:r>
          </w:p>
        </w:tc>
      </w:tr>
      <w:tr w:rsidTr="00CD2D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2D02">
            <w:pPr>
              <w:pStyle w:val="BodyText"/>
              <w:rPr>
                <w:lang w:val="en-NZ"/>
              </w:rPr>
            </w:pPr>
            <w:r w:rsidRPr="00CD2D02">
              <w:t>2.3</w:t>
            </w:r>
          </w:p>
        </w:tc>
        <w:tc>
          <w:tcPr>
            <w:tcW w:w="5610" w:type="dxa"/>
            <w:tcBorders>
              <w:top w:val="nil"/>
              <w:left w:val="nil"/>
              <w:bottom w:val="nil"/>
              <w:right w:val="nil"/>
            </w:tcBorders>
            <w:tcMar>
              <w:top w:w="0" w:type="dxa"/>
              <w:left w:w="62" w:type="dxa"/>
              <w:bottom w:w="0" w:type="dxa"/>
              <w:right w:w="62" w:type="dxa"/>
            </w:tcMar>
          </w:tcPr>
          <w:p w:rsidR="00000000" w:rsidP="00CD2D02">
            <w:pPr>
              <w:pStyle w:val="BodyText"/>
              <w:rPr>
                <w:lang w:val="en-NZ"/>
              </w:rPr>
            </w:pPr>
            <w:r w:rsidRPr="00CD2D02">
              <w:t>Calculate total resourcing required for each family.</w:t>
            </w:r>
          </w:p>
        </w:tc>
      </w:tr>
      <w:tr w:rsidTr="00CD2D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2D02">
            <w:pPr>
              <w:pStyle w:val="BodyText"/>
              <w:rPr>
                <w:lang w:val="en-NZ"/>
              </w:rPr>
            </w:pPr>
            <w:r w:rsidRPr="00CD2D02">
              <w:t>2.4</w:t>
            </w:r>
          </w:p>
        </w:tc>
        <w:tc>
          <w:tcPr>
            <w:tcW w:w="5610" w:type="dxa"/>
            <w:tcBorders>
              <w:top w:val="nil"/>
              <w:left w:val="nil"/>
              <w:bottom w:val="nil"/>
              <w:right w:val="nil"/>
            </w:tcBorders>
            <w:tcMar>
              <w:top w:w="0" w:type="dxa"/>
              <w:left w:w="62" w:type="dxa"/>
              <w:bottom w:w="0" w:type="dxa"/>
              <w:right w:w="62" w:type="dxa"/>
            </w:tcMar>
          </w:tcPr>
          <w:p w:rsidR="00000000" w:rsidP="00CD2D02">
            <w:pPr>
              <w:pStyle w:val="BodyText"/>
              <w:rPr>
                <w:lang w:val="en-NZ"/>
              </w:rPr>
            </w:pPr>
            <w:r w:rsidRPr="00CD2D02">
              <w:t>Estimate appropriate lot size.</w:t>
            </w:r>
          </w:p>
        </w:tc>
      </w:tr>
      <w:tr w:rsidTr="00CD2D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2D02">
            <w:pPr>
              <w:pStyle w:val="BodyText"/>
              <w:rPr>
                <w:lang w:val="en-NZ"/>
              </w:rPr>
            </w:pPr>
            <w:r w:rsidRPr="00CD2D02">
              <w:t>2.5</w:t>
            </w:r>
          </w:p>
        </w:tc>
        <w:tc>
          <w:tcPr>
            <w:tcW w:w="5610" w:type="dxa"/>
            <w:tcBorders>
              <w:top w:val="nil"/>
              <w:left w:val="nil"/>
              <w:bottom w:val="nil"/>
              <w:right w:val="nil"/>
            </w:tcBorders>
            <w:tcMar>
              <w:top w:w="0" w:type="dxa"/>
              <w:left w:w="62" w:type="dxa"/>
              <w:bottom w:w="0" w:type="dxa"/>
              <w:right w:w="62" w:type="dxa"/>
            </w:tcMar>
          </w:tcPr>
          <w:p w:rsidR="00000000" w:rsidP="00CD2D02">
            <w:pPr>
              <w:pStyle w:val="BodyText"/>
              <w:rPr>
                <w:lang w:val="en-NZ"/>
              </w:rPr>
            </w:pPr>
            <w:r w:rsidRPr="00CD2D02">
              <w:t>Determine viability of proposed families.</w:t>
            </w:r>
          </w:p>
        </w:tc>
      </w:tr>
      <w:tr w:rsidTr="00CD2D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2D02">
            <w:pPr>
              <w:pStyle w:val="BodyText"/>
              <w:rPr>
                <w:lang w:val="en-NZ"/>
              </w:rPr>
            </w:pPr>
            <w:r w:rsidRPr="00CD2D02">
              <w:t>2.6</w:t>
            </w:r>
          </w:p>
        </w:tc>
        <w:tc>
          <w:tcPr>
            <w:tcW w:w="5610" w:type="dxa"/>
            <w:tcBorders>
              <w:top w:val="nil"/>
              <w:left w:val="nil"/>
              <w:bottom w:val="nil"/>
              <w:right w:val="nil"/>
            </w:tcBorders>
            <w:tcMar>
              <w:top w:w="0" w:type="dxa"/>
              <w:left w:w="62" w:type="dxa"/>
              <w:bottom w:w="0" w:type="dxa"/>
              <w:right w:w="62" w:type="dxa"/>
            </w:tcMar>
          </w:tcPr>
          <w:p w:rsidR="00000000" w:rsidP="00CD2D02">
            <w:pPr>
              <w:pStyle w:val="BodyText"/>
              <w:rPr>
                <w:lang w:val="en-NZ"/>
              </w:rPr>
            </w:pPr>
            <w:r w:rsidRPr="00CD2D02">
              <w:t>Examine draft proposal for possible improvements in process consistent with the competitive systems and practices strategy of the organisation.</w:t>
            </w:r>
          </w:p>
        </w:tc>
      </w:tr>
      <w:tr w:rsidTr="00CD2D0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D2D02">
            <w:pPr>
              <w:pStyle w:val="BodyText"/>
              <w:rPr>
                <w:lang w:val="en-NZ"/>
              </w:rPr>
            </w:pPr>
          </w:p>
        </w:tc>
      </w:tr>
      <w:tr w:rsidTr="00CD2D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D2D02" w:rsidP="00CD2D02">
            <w:pPr>
              <w:pStyle w:val="BodyText"/>
            </w:pPr>
            <w:r w:rsidRPr="00CD2D02">
              <w:t>3</w:t>
            </w:r>
          </w:p>
        </w:tc>
        <w:tc>
          <w:tcPr>
            <w:tcW w:w="1962" w:type="dxa"/>
            <w:vMerge w:val="restart"/>
            <w:tcBorders>
              <w:top w:val="nil"/>
              <w:left w:val="nil"/>
              <w:bottom w:val="nil"/>
              <w:right w:val="nil"/>
            </w:tcBorders>
            <w:tcMar>
              <w:top w:w="0" w:type="dxa"/>
              <w:left w:w="62" w:type="dxa"/>
              <w:bottom w:w="0" w:type="dxa"/>
              <w:right w:w="62" w:type="dxa"/>
            </w:tcMar>
          </w:tcPr>
          <w:p w:rsidR="00000000" w:rsidP="00CD2D02">
            <w:pPr>
              <w:pStyle w:val="BodyText"/>
              <w:rPr>
                <w:lang w:val="en-NZ"/>
              </w:rPr>
            </w:pPr>
            <w:r w:rsidRPr="00CD2D02">
              <w:rPr>
                <w:rStyle w:val="SpecialBold"/>
              </w:rPr>
              <w:t>Design the infrastructure</w:t>
            </w:r>
          </w:p>
        </w:tc>
        <w:tc>
          <w:tcPr>
            <w:tcW w:w="770" w:type="dxa"/>
            <w:tcBorders>
              <w:top w:val="nil"/>
              <w:left w:val="nil"/>
              <w:bottom w:val="nil"/>
              <w:right w:val="nil"/>
            </w:tcBorders>
            <w:tcMar>
              <w:top w:w="0" w:type="dxa"/>
              <w:left w:w="62" w:type="dxa"/>
              <w:bottom w:w="0" w:type="dxa"/>
              <w:right w:w="62" w:type="dxa"/>
            </w:tcMar>
          </w:tcPr>
          <w:p w:rsidR="00000000" w:rsidP="00CD2D02">
            <w:pPr>
              <w:pStyle w:val="BodyText"/>
              <w:rPr>
                <w:lang w:val="en-NZ"/>
              </w:rPr>
            </w:pPr>
            <w:r w:rsidRPr="00CD2D02">
              <w:t>3.1</w:t>
            </w:r>
          </w:p>
        </w:tc>
        <w:tc>
          <w:tcPr>
            <w:tcW w:w="5610" w:type="dxa"/>
            <w:tcBorders>
              <w:top w:val="nil"/>
              <w:left w:val="nil"/>
              <w:bottom w:val="nil"/>
              <w:right w:val="nil"/>
            </w:tcBorders>
            <w:tcMar>
              <w:top w:w="0" w:type="dxa"/>
              <w:left w:w="62" w:type="dxa"/>
              <w:bottom w:w="0" w:type="dxa"/>
              <w:right w:w="62" w:type="dxa"/>
            </w:tcMar>
          </w:tcPr>
          <w:p w:rsidR="00000000" w:rsidP="00CD2D02">
            <w:pPr>
              <w:pStyle w:val="BodyText"/>
              <w:rPr>
                <w:lang w:val="en-NZ"/>
              </w:rPr>
            </w:pPr>
            <w:r w:rsidRPr="00CD2D02">
              <w:t>Consult on layout needs with all stakeholders.</w:t>
            </w:r>
          </w:p>
        </w:tc>
      </w:tr>
      <w:tr w:rsidTr="00CD2D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2D02">
            <w:pPr>
              <w:pStyle w:val="BodyText"/>
              <w:rPr>
                <w:lang w:val="en-NZ"/>
              </w:rPr>
            </w:pPr>
            <w:r w:rsidRPr="00CD2D02">
              <w:t>3.2</w:t>
            </w:r>
          </w:p>
        </w:tc>
        <w:tc>
          <w:tcPr>
            <w:tcW w:w="5610" w:type="dxa"/>
            <w:tcBorders>
              <w:top w:val="nil"/>
              <w:left w:val="nil"/>
              <w:bottom w:val="nil"/>
              <w:right w:val="nil"/>
            </w:tcBorders>
            <w:tcMar>
              <w:top w:w="0" w:type="dxa"/>
              <w:left w:w="62" w:type="dxa"/>
              <w:bottom w:w="0" w:type="dxa"/>
              <w:right w:w="62" w:type="dxa"/>
            </w:tcMar>
          </w:tcPr>
          <w:p w:rsidR="00000000" w:rsidP="00CD2D02">
            <w:pPr>
              <w:pStyle w:val="BodyText"/>
              <w:rPr>
                <w:lang w:val="en-NZ"/>
              </w:rPr>
            </w:pPr>
            <w:r w:rsidRPr="00CD2D02">
              <w:t>Identify physical infrastructure required by system.</w:t>
            </w:r>
          </w:p>
        </w:tc>
      </w:tr>
      <w:tr w:rsidTr="00CD2D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2D02">
            <w:pPr>
              <w:pStyle w:val="BodyText"/>
              <w:rPr>
                <w:lang w:val="en-NZ"/>
              </w:rPr>
            </w:pPr>
            <w:r w:rsidRPr="00CD2D02">
              <w:t>3.3</w:t>
            </w:r>
          </w:p>
        </w:tc>
        <w:tc>
          <w:tcPr>
            <w:tcW w:w="5610" w:type="dxa"/>
            <w:tcBorders>
              <w:top w:val="nil"/>
              <w:left w:val="nil"/>
              <w:bottom w:val="nil"/>
              <w:right w:val="nil"/>
            </w:tcBorders>
            <w:tcMar>
              <w:top w:w="0" w:type="dxa"/>
              <w:left w:w="62" w:type="dxa"/>
              <w:bottom w:w="0" w:type="dxa"/>
              <w:right w:w="62" w:type="dxa"/>
            </w:tcMar>
          </w:tcPr>
          <w:p w:rsidR="00000000" w:rsidP="00CD2D02">
            <w:pPr>
              <w:pStyle w:val="BodyText"/>
              <w:rPr>
                <w:lang w:val="en-NZ"/>
              </w:rPr>
            </w:pPr>
            <w:r w:rsidRPr="00CD2D02">
              <w:t>Identify information and control infrastructure required.</w:t>
            </w:r>
          </w:p>
        </w:tc>
      </w:tr>
      <w:tr w:rsidTr="00CD2D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2D02">
            <w:pPr>
              <w:pStyle w:val="BodyText"/>
              <w:rPr>
                <w:lang w:val="en-NZ"/>
              </w:rPr>
            </w:pPr>
            <w:r w:rsidRPr="00CD2D02">
              <w:t>3.4</w:t>
            </w:r>
          </w:p>
        </w:tc>
        <w:tc>
          <w:tcPr>
            <w:tcW w:w="5610" w:type="dxa"/>
            <w:tcBorders>
              <w:top w:val="nil"/>
              <w:left w:val="nil"/>
              <w:bottom w:val="nil"/>
              <w:right w:val="nil"/>
            </w:tcBorders>
            <w:tcMar>
              <w:top w:w="0" w:type="dxa"/>
              <w:left w:w="62" w:type="dxa"/>
              <w:bottom w:w="0" w:type="dxa"/>
              <w:right w:w="62" w:type="dxa"/>
            </w:tcMar>
          </w:tcPr>
          <w:p w:rsidR="00000000" w:rsidP="00CD2D02">
            <w:pPr>
              <w:pStyle w:val="BodyText"/>
              <w:rPr>
                <w:lang w:val="en-NZ"/>
              </w:rPr>
            </w:pPr>
            <w:r w:rsidRPr="00CD2D02">
              <w:t>Identify work organisation required.</w:t>
            </w:r>
          </w:p>
        </w:tc>
      </w:tr>
      <w:tr w:rsidTr="00CD2D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2D02">
            <w:pPr>
              <w:pStyle w:val="BodyText"/>
              <w:rPr>
                <w:lang w:val="en-NZ"/>
              </w:rPr>
            </w:pPr>
            <w:r w:rsidRPr="00CD2D02">
              <w:t>3.5</w:t>
            </w:r>
          </w:p>
        </w:tc>
        <w:tc>
          <w:tcPr>
            <w:tcW w:w="5610" w:type="dxa"/>
            <w:tcBorders>
              <w:top w:val="nil"/>
              <w:left w:val="nil"/>
              <w:bottom w:val="nil"/>
              <w:right w:val="nil"/>
            </w:tcBorders>
            <w:tcMar>
              <w:top w:w="0" w:type="dxa"/>
              <w:left w:w="62" w:type="dxa"/>
              <w:bottom w:w="0" w:type="dxa"/>
              <w:right w:w="62" w:type="dxa"/>
            </w:tcMar>
          </w:tcPr>
          <w:p w:rsidR="00000000" w:rsidP="00CD2D02">
            <w:pPr>
              <w:pStyle w:val="BodyText"/>
              <w:rPr>
                <w:lang w:val="en-NZ"/>
              </w:rPr>
            </w:pPr>
            <w:r w:rsidRPr="00CD2D02">
              <w:t>Identify work health and safety (WHS) and other regulatory requirements to be taken into account.</w:t>
            </w:r>
          </w:p>
        </w:tc>
      </w:tr>
      <w:tr w:rsidTr="00CD2D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2D02">
            <w:pPr>
              <w:pStyle w:val="BodyText"/>
              <w:rPr>
                <w:lang w:val="en-NZ"/>
              </w:rPr>
            </w:pPr>
            <w:r w:rsidRPr="00CD2D02">
              <w:t>3.6</w:t>
            </w:r>
          </w:p>
        </w:tc>
        <w:tc>
          <w:tcPr>
            <w:tcW w:w="5610" w:type="dxa"/>
            <w:tcBorders>
              <w:top w:val="nil"/>
              <w:left w:val="nil"/>
              <w:bottom w:val="nil"/>
              <w:right w:val="nil"/>
            </w:tcBorders>
            <w:tcMar>
              <w:top w:w="0" w:type="dxa"/>
              <w:left w:w="62" w:type="dxa"/>
              <w:bottom w:w="0" w:type="dxa"/>
              <w:right w:w="62" w:type="dxa"/>
            </w:tcMar>
          </w:tcPr>
          <w:p w:rsidR="00000000" w:rsidP="00CD2D02">
            <w:pPr>
              <w:pStyle w:val="BodyText"/>
              <w:rPr>
                <w:lang w:val="en-NZ"/>
              </w:rPr>
            </w:pPr>
            <w:r w:rsidRPr="00CD2D02">
              <w:t>Identify workforce development and training requirements.</w:t>
            </w:r>
          </w:p>
        </w:tc>
      </w:tr>
      <w:tr w:rsidTr="00CD2D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2D02">
            <w:pPr>
              <w:pStyle w:val="BodyText"/>
              <w:rPr>
                <w:lang w:val="en-NZ"/>
              </w:rPr>
            </w:pPr>
            <w:r w:rsidRPr="00CD2D02">
              <w:t>3.7</w:t>
            </w:r>
          </w:p>
        </w:tc>
        <w:tc>
          <w:tcPr>
            <w:tcW w:w="5610" w:type="dxa"/>
            <w:tcBorders>
              <w:top w:val="nil"/>
              <w:left w:val="nil"/>
              <w:bottom w:val="nil"/>
              <w:right w:val="nil"/>
            </w:tcBorders>
            <w:tcMar>
              <w:top w:w="0" w:type="dxa"/>
              <w:left w:w="62" w:type="dxa"/>
              <w:bottom w:w="0" w:type="dxa"/>
              <w:right w:w="62" w:type="dxa"/>
            </w:tcMar>
          </w:tcPr>
          <w:p w:rsidR="00000000" w:rsidP="00CD2D02">
            <w:pPr>
              <w:pStyle w:val="BodyText"/>
              <w:rPr>
                <w:lang w:val="en-NZ"/>
              </w:rPr>
            </w:pPr>
            <w:r w:rsidRPr="00CD2D02">
              <w:t>Check the availability of required infrastructure and compatibility with requirements.</w:t>
            </w:r>
          </w:p>
        </w:tc>
      </w:tr>
      <w:tr w:rsidTr="00CD2D0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D2D02">
            <w:pPr>
              <w:pStyle w:val="BodyText"/>
              <w:rPr>
                <w:lang w:val="en-NZ"/>
              </w:rPr>
            </w:pPr>
          </w:p>
        </w:tc>
      </w:tr>
      <w:tr w:rsidTr="00CD2D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D2D02" w:rsidP="00CD2D02">
            <w:pPr>
              <w:pStyle w:val="BodyText"/>
            </w:pPr>
            <w:r w:rsidRPr="00CD2D02">
              <w:t>4</w:t>
            </w:r>
          </w:p>
        </w:tc>
        <w:tc>
          <w:tcPr>
            <w:tcW w:w="1962" w:type="dxa"/>
            <w:vMerge w:val="restart"/>
            <w:tcBorders>
              <w:top w:val="nil"/>
              <w:left w:val="nil"/>
              <w:bottom w:val="nil"/>
              <w:right w:val="nil"/>
            </w:tcBorders>
            <w:tcMar>
              <w:top w:w="0" w:type="dxa"/>
              <w:left w:w="62" w:type="dxa"/>
              <w:bottom w:w="0" w:type="dxa"/>
              <w:right w:w="62" w:type="dxa"/>
            </w:tcMar>
          </w:tcPr>
          <w:p w:rsidR="00000000" w:rsidP="00CD2D02">
            <w:pPr>
              <w:pStyle w:val="BodyText"/>
              <w:rPr>
                <w:lang w:val="en-NZ"/>
              </w:rPr>
            </w:pPr>
            <w:r w:rsidRPr="00CD2D02">
              <w:rPr>
                <w:rStyle w:val="SpecialBold"/>
              </w:rPr>
              <w:t>Lay out the process</w:t>
            </w:r>
          </w:p>
        </w:tc>
        <w:tc>
          <w:tcPr>
            <w:tcW w:w="770" w:type="dxa"/>
            <w:tcBorders>
              <w:top w:val="nil"/>
              <w:left w:val="nil"/>
              <w:bottom w:val="nil"/>
              <w:right w:val="nil"/>
            </w:tcBorders>
            <w:tcMar>
              <w:top w:w="0" w:type="dxa"/>
              <w:left w:w="62" w:type="dxa"/>
              <w:bottom w:w="0" w:type="dxa"/>
              <w:right w:w="62" w:type="dxa"/>
            </w:tcMar>
          </w:tcPr>
          <w:p w:rsidR="00000000" w:rsidP="00CD2D02">
            <w:pPr>
              <w:pStyle w:val="BodyText"/>
              <w:rPr>
                <w:lang w:val="en-NZ"/>
              </w:rPr>
            </w:pPr>
            <w:r w:rsidRPr="00CD2D02">
              <w:t>4.1</w:t>
            </w:r>
          </w:p>
        </w:tc>
        <w:tc>
          <w:tcPr>
            <w:tcW w:w="5610" w:type="dxa"/>
            <w:tcBorders>
              <w:top w:val="nil"/>
              <w:left w:val="nil"/>
              <w:bottom w:val="nil"/>
              <w:right w:val="nil"/>
            </w:tcBorders>
            <w:tcMar>
              <w:top w:w="0" w:type="dxa"/>
              <w:left w:w="62" w:type="dxa"/>
              <w:bottom w:w="0" w:type="dxa"/>
              <w:right w:w="62" w:type="dxa"/>
            </w:tcMar>
          </w:tcPr>
          <w:p w:rsidR="00000000" w:rsidP="00CD2D02">
            <w:pPr>
              <w:pStyle w:val="BodyText"/>
              <w:rPr>
                <w:lang w:val="en-NZ"/>
              </w:rPr>
            </w:pPr>
            <w:r w:rsidRPr="00CD2D02">
              <w:t>Draft proposed process flow map.</w:t>
            </w:r>
          </w:p>
        </w:tc>
      </w:tr>
      <w:tr w:rsidTr="00CD2D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2D02">
            <w:pPr>
              <w:pStyle w:val="BodyText"/>
              <w:rPr>
                <w:lang w:val="en-NZ"/>
              </w:rPr>
            </w:pPr>
            <w:r w:rsidRPr="00CD2D02">
              <w:t>4.2</w:t>
            </w:r>
          </w:p>
        </w:tc>
        <w:tc>
          <w:tcPr>
            <w:tcW w:w="5610" w:type="dxa"/>
            <w:tcBorders>
              <w:top w:val="nil"/>
              <w:left w:val="nil"/>
              <w:bottom w:val="nil"/>
              <w:right w:val="nil"/>
            </w:tcBorders>
            <w:tcMar>
              <w:top w:w="0" w:type="dxa"/>
              <w:left w:w="62" w:type="dxa"/>
              <w:bottom w:w="0" w:type="dxa"/>
              <w:right w:w="62" w:type="dxa"/>
            </w:tcMar>
          </w:tcPr>
          <w:p w:rsidR="00000000" w:rsidP="00CD2D02">
            <w:pPr>
              <w:pStyle w:val="BodyText"/>
              <w:rPr>
                <w:lang w:val="en-NZ"/>
              </w:rPr>
            </w:pPr>
            <w:r w:rsidRPr="00CD2D02">
              <w:t>Draft proposed configuration diagram.</w:t>
            </w:r>
          </w:p>
        </w:tc>
      </w:tr>
      <w:tr w:rsidTr="00CD2D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2D02">
            <w:pPr>
              <w:pStyle w:val="BodyText"/>
              <w:rPr>
                <w:lang w:val="en-NZ"/>
              </w:rPr>
            </w:pPr>
            <w:r w:rsidRPr="00CD2D02">
              <w:t>4.3</w:t>
            </w:r>
          </w:p>
        </w:tc>
        <w:tc>
          <w:tcPr>
            <w:tcW w:w="5610" w:type="dxa"/>
            <w:tcBorders>
              <w:top w:val="nil"/>
              <w:left w:val="nil"/>
              <w:bottom w:val="nil"/>
              <w:right w:val="nil"/>
            </w:tcBorders>
            <w:tcMar>
              <w:top w:w="0" w:type="dxa"/>
              <w:left w:w="62" w:type="dxa"/>
              <w:bottom w:w="0" w:type="dxa"/>
              <w:right w:w="62" w:type="dxa"/>
            </w:tcMar>
          </w:tcPr>
          <w:p w:rsidR="00000000" w:rsidP="00CD2D02">
            <w:pPr>
              <w:pStyle w:val="BodyText"/>
              <w:rPr>
                <w:lang w:val="en-NZ"/>
              </w:rPr>
            </w:pPr>
            <w:r w:rsidRPr="00CD2D02">
              <w:t>Draft proposed space plan/layout.</w:t>
            </w:r>
          </w:p>
        </w:tc>
      </w:tr>
      <w:tr w:rsidTr="00CD2D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2D02">
            <w:pPr>
              <w:pStyle w:val="BodyText"/>
              <w:rPr>
                <w:lang w:val="en-NZ"/>
              </w:rPr>
            </w:pPr>
            <w:r w:rsidRPr="00CD2D02">
              <w:t>4.4</w:t>
            </w:r>
          </w:p>
        </w:tc>
        <w:tc>
          <w:tcPr>
            <w:tcW w:w="5610" w:type="dxa"/>
            <w:tcBorders>
              <w:top w:val="nil"/>
              <w:left w:val="nil"/>
              <w:bottom w:val="nil"/>
              <w:right w:val="nil"/>
            </w:tcBorders>
            <w:tcMar>
              <w:top w:w="0" w:type="dxa"/>
              <w:left w:w="62" w:type="dxa"/>
              <w:bottom w:w="0" w:type="dxa"/>
              <w:right w:w="62" w:type="dxa"/>
            </w:tcMar>
          </w:tcPr>
          <w:p w:rsidR="00000000" w:rsidP="00CD2D02">
            <w:pPr>
              <w:pStyle w:val="BodyText"/>
              <w:rPr>
                <w:lang w:val="en-NZ"/>
              </w:rPr>
            </w:pPr>
            <w:r w:rsidRPr="00CD2D02">
              <w:t>Check availability of services/structural suitability, as appropriate.</w:t>
            </w:r>
          </w:p>
        </w:tc>
      </w:tr>
      <w:tr w:rsidTr="00CD2D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2D02">
            <w:pPr>
              <w:pStyle w:val="BodyText"/>
              <w:rPr>
                <w:lang w:val="en-NZ"/>
              </w:rPr>
            </w:pPr>
            <w:r w:rsidRPr="00CD2D02">
              <w:t>4.5</w:t>
            </w:r>
          </w:p>
        </w:tc>
        <w:tc>
          <w:tcPr>
            <w:tcW w:w="5610" w:type="dxa"/>
            <w:tcBorders>
              <w:top w:val="nil"/>
              <w:left w:val="nil"/>
              <w:bottom w:val="nil"/>
              <w:right w:val="nil"/>
            </w:tcBorders>
            <w:tcMar>
              <w:top w:w="0" w:type="dxa"/>
              <w:left w:w="62" w:type="dxa"/>
              <w:bottom w:w="0" w:type="dxa"/>
              <w:right w:w="62" w:type="dxa"/>
            </w:tcMar>
          </w:tcPr>
          <w:p w:rsidR="00000000" w:rsidP="00CD2D02">
            <w:pPr>
              <w:pStyle w:val="BodyText"/>
              <w:rPr>
                <w:lang w:val="en-NZ"/>
              </w:rPr>
            </w:pPr>
            <w:r w:rsidRPr="00CD2D02">
              <w:t>Validate proposed layout with all relevant stakeholders.</w:t>
            </w:r>
          </w:p>
        </w:tc>
      </w:tr>
      <w:tr w:rsidTr="00CD2D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2D02">
            <w:pPr>
              <w:pStyle w:val="BodyText"/>
              <w:rPr>
                <w:lang w:val="en-NZ"/>
              </w:rPr>
            </w:pPr>
            <w:r w:rsidRPr="00CD2D02">
              <w:t>4.6</w:t>
            </w:r>
          </w:p>
        </w:tc>
        <w:tc>
          <w:tcPr>
            <w:tcW w:w="5610" w:type="dxa"/>
            <w:tcBorders>
              <w:top w:val="nil"/>
              <w:left w:val="nil"/>
              <w:bottom w:val="nil"/>
              <w:right w:val="nil"/>
            </w:tcBorders>
            <w:tcMar>
              <w:top w:w="0" w:type="dxa"/>
              <w:left w:w="62" w:type="dxa"/>
              <w:bottom w:w="0" w:type="dxa"/>
              <w:right w:w="62" w:type="dxa"/>
            </w:tcMar>
          </w:tcPr>
          <w:p w:rsidR="00000000" w:rsidP="00CD2D02">
            <w:pPr>
              <w:pStyle w:val="BodyText"/>
              <w:rPr>
                <w:lang w:val="en-NZ"/>
              </w:rPr>
            </w:pPr>
            <w:r w:rsidRPr="00CD2D02">
              <w:t>Layout the process/work cell.</w:t>
            </w:r>
          </w:p>
        </w:tc>
      </w:tr>
      <w:tr w:rsidTr="00CD2D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2D02">
            <w:pPr>
              <w:pStyle w:val="BodyText"/>
              <w:rPr>
                <w:lang w:val="en-NZ"/>
              </w:rPr>
            </w:pPr>
            <w:r w:rsidRPr="00CD2D02">
              <w:t>4.7</w:t>
            </w:r>
          </w:p>
        </w:tc>
        <w:tc>
          <w:tcPr>
            <w:tcW w:w="5610" w:type="dxa"/>
            <w:tcBorders>
              <w:top w:val="nil"/>
              <w:left w:val="nil"/>
              <w:bottom w:val="nil"/>
              <w:right w:val="nil"/>
            </w:tcBorders>
            <w:tcMar>
              <w:top w:w="0" w:type="dxa"/>
              <w:left w:w="62" w:type="dxa"/>
              <w:bottom w:w="0" w:type="dxa"/>
              <w:right w:w="62" w:type="dxa"/>
            </w:tcMar>
          </w:tcPr>
          <w:p w:rsidR="00000000" w:rsidP="00CD2D02">
            <w:pPr>
              <w:pStyle w:val="BodyText"/>
              <w:rPr>
                <w:lang w:val="en-NZ"/>
              </w:rPr>
            </w:pPr>
            <w:r w:rsidRPr="00CD2D02">
              <w:t>Develop implementation plan in liaison with relevant stakeholders.</w:t>
            </w:r>
          </w:p>
        </w:tc>
      </w:tr>
      <w:tr w:rsidTr="00CD2D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2D02">
            <w:pPr>
              <w:pStyle w:val="BodyText"/>
              <w:rPr>
                <w:lang w:val="en-NZ"/>
              </w:rPr>
            </w:pPr>
            <w:r w:rsidRPr="00CD2D02">
              <w:t>4.8</w:t>
            </w:r>
          </w:p>
        </w:tc>
        <w:tc>
          <w:tcPr>
            <w:tcW w:w="5610" w:type="dxa"/>
            <w:tcBorders>
              <w:top w:val="nil"/>
              <w:left w:val="nil"/>
              <w:bottom w:val="nil"/>
              <w:right w:val="nil"/>
            </w:tcBorders>
            <w:tcMar>
              <w:top w:w="0" w:type="dxa"/>
              <w:left w:w="62" w:type="dxa"/>
              <w:bottom w:w="0" w:type="dxa"/>
              <w:right w:w="62" w:type="dxa"/>
            </w:tcMar>
          </w:tcPr>
          <w:p w:rsidR="00000000" w:rsidRPr="00CD2D02" w:rsidP="00CD2D02">
            <w:pPr>
              <w:pStyle w:val="BodyText"/>
            </w:pPr>
            <w:r w:rsidRPr="00CD2D02">
              <w:t>Review layout after implementation.</w:t>
            </w:r>
          </w:p>
        </w:tc>
      </w:tr>
    </w:tbl>
    <w:p w:rsidR="00000000" w:rsidRPr="00CD2D02" w:rsidP="00CD2D02">
      <w:pPr>
        <w:pStyle w:val="BodyText"/>
      </w:pPr>
    </w:p>
    <w:p w:rsidR="00000000" w:rsidRPr="00CD2D02" w:rsidP="00CD2D02">
      <w:pPr>
        <w:pStyle w:val="AllowPageBreak"/>
      </w:pPr>
    </w:p>
    <w:p w:rsidR="00000000" w:rsidRPr="00CD2D02" w:rsidP="00CD2D02">
      <w:pPr>
        <w:pStyle w:val="Heading1"/>
      </w:pPr>
      <w:bookmarkStart w:id="7" w:name="O_921236"/>
      <w:bookmarkEnd w:id="7"/>
      <w:r w:rsidRPr="00CD2D02">
        <w:t>Foundation Skills</w:t>
      </w:r>
    </w:p>
    <w:p w:rsidR="00000000" w:rsidRPr="00CD2D02" w:rsidP="001559BF">
      <w:pPr>
        <w:pStyle w:val="BodyText"/>
      </w:pPr>
      <w:r w:rsidRPr="00CD2D02">
        <w:t>This section describes those required skills (language, literacy and numeracy) that are essential to performance.</w:t>
      </w:r>
    </w:p>
    <w:p w:rsidR="00000000" w:rsidRPr="00CD2D02" w:rsidP="001559BF">
      <w:pPr>
        <w:pStyle w:val="BodyText"/>
      </w:pPr>
      <w:r w:rsidRPr="00CD2D02">
        <w:t>Foundation skills essential to performance are explicit in the performance criteria of this unit of competency.</w:t>
      </w:r>
    </w:p>
    <w:p w:rsidR="00000000" w:rsidRPr="00CD2D02" w:rsidP="00CD2D02">
      <w:pPr>
        <w:pStyle w:val="Heading1"/>
      </w:pPr>
      <w:bookmarkStart w:id="8" w:name="O_921235"/>
      <w:bookmarkEnd w:id="8"/>
      <w:r w:rsidRPr="00CD2D02">
        <w:t>Range of Con</w:t>
      </w:r>
      <w:r w:rsidRPr="00CD2D02">
        <w:t>ditions</w:t>
      </w:r>
    </w:p>
    <w:tbl>
      <w:tblPr>
        <w:tblW w:w="0" w:type="auto"/>
        <w:tblLayout w:type="fixed"/>
        <w:tblCellMar>
          <w:left w:w="62" w:type="dxa"/>
          <w:right w:w="62" w:type="dxa"/>
        </w:tblCellMar>
        <w:tblLook w:val="0000"/>
      </w:tblPr>
      <w:tblGrid>
        <w:gridCol w:w="2223"/>
        <w:gridCol w:w="6849"/>
      </w:tblGrid>
      <w:tr w:rsidTr="00CD2D0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D2D02">
            <w:pPr>
              <w:pStyle w:val="BodyText"/>
              <w:rPr>
                <w:lang w:val="en-NZ"/>
              </w:rPr>
            </w:pPr>
            <w:r w:rsidRPr="00CD2D02">
              <w:t>This field allows for different work environments and conditions that may affect performance. Essential operating conditions that may be present (depending on the work situation, needs of the candidate, accessibility of the item, and local industry</w:t>
            </w:r>
            <w:r w:rsidRPr="00CD2D02">
              <w:t xml:space="preserve"> and regional contexts) are included.</w:t>
            </w:r>
          </w:p>
        </w:tc>
      </w:tr>
      <w:tr w:rsidTr="00CD2D02">
        <w:tblPrEx>
          <w:tblW w:w="0" w:type="auto"/>
          <w:tblLayout w:type="fixed"/>
          <w:tblCellMar>
            <w:left w:w="62" w:type="dxa"/>
            <w:right w:w="62" w:type="dxa"/>
          </w:tblCellMar>
          <w:tblLook w:val="0000"/>
        </w:tblPrEx>
        <w:tc>
          <w:tcPr>
            <w:tcW w:w="2223" w:type="dxa"/>
            <w:tcBorders>
              <w:top w:val="nil"/>
              <w:left w:val="nil"/>
              <w:bottom w:val="nil"/>
              <w:right w:val="nil"/>
            </w:tcBorders>
            <w:tcMar>
              <w:top w:w="0" w:type="dxa"/>
              <w:left w:w="62" w:type="dxa"/>
              <w:bottom w:w="0" w:type="dxa"/>
              <w:right w:w="62" w:type="dxa"/>
            </w:tcMar>
          </w:tcPr>
          <w:p w:rsidR="00000000" w:rsidP="00CD2D02">
            <w:pPr>
              <w:pStyle w:val="BodyText"/>
              <w:rPr>
                <w:lang w:val="en-NZ"/>
              </w:rPr>
            </w:pPr>
            <w:r w:rsidRPr="00CD2D02">
              <w:rPr>
                <w:rStyle w:val="SpecialBold"/>
              </w:rPr>
              <w:t>Competitive systems and practices include one or more of:</w:t>
            </w:r>
          </w:p>
        </w:tc>
        <w:tc>
          <w:tcPr>
            <w:tcW w:w="6849" w:type="dxa"/>
            <w:tcBorders>
              <w:top w:val="nil"/>
              <w:left w:val="nil"/>
              <w:bottom w:val="nil"/>
              <w:right w:val="nil"/>
            </w:tcBorders>
            <w:tcMar>
              <w:top w:w="0" w:type="dxa"/>
              <w:left w:w="62" w:type="dxa"/>
              <w:bottom w:w="0" w:type="dxa"/>
              <w:right w:w="62" w:type="dxa"/>
            </w:tcMar>
          </w:tcPr>
          <w:p w:rsidR="00000000" w:rsidRPr="00CD2D02" w:rsidP="00CD2D02">
            <w:pPr>
              <w:pStyle w:val="ListBullet"/>
            </w:pPr>
            <w:r w:rsidRPr="00CD2D02">
              <w:t>lean operations</w:t>
            </w:r>
          </w:p>
          <w:p w:rsidR="00000000" w:rsidRPr="00CD2D02" w:rsidP="00CD2D02">
            <w:pPr>
              <w:pStyle w:val="ListBullet"/>
            </w:pPr>
            <w:r w:rsidRPr="00CD2D02">
              <w:t>agile operations</w:t>
            </w:r>
          </w:p>
          <w:p w:rsidR="00000000" w:rsidRPr="00CD2D02" w:rsidP="00CD2D02">
            <w:pPr>
              <w:pStyle w:val="ListBullet"/>
            </w:pPr>
            <w:r w:rsidRPr="00CD2D02">
              <w:t>preventative and predictive maintenance approaches</w:t>
            </w:r>
          </w:p>
          <w:p w:rsidR="00000000" w:rsidRPr="00CD2D02" w:rsidP="00CD2D02">
            <w:pPr>
              <w:pStyle w:val="ListBullet"/>
            </w:pPr>
            <w:r w:rsidRPr="00CD2D02">
              <w:t>statistical process control systems, including six sigma and three sigma</w:t>
            </w:r>
          </w:p>
          <w:p w:rsidR="00000000" w:rsidRPr="00CD2D02" w:rsidP="00CD2D02">
            <w:pPr>
              <w:pStyle w:val="ListBullet"/>
            </w:pPr>
            <w:r w:rsidRPr="00CD2D02">
              <w:t>Just in Time (JIT), kanban and other pull-related operations control systems</w:t>
            </w:r>
          </w:p>
          <w:p w:rsidR="00000000" w:rsidRPr="00CD2D02" w:rsidP="00CD2D02">
            <w:pPr>
              <w:pStyle w:val="ListBullet"/>
            </w:pPr>
            <w:r w:rsidRPr="00CD2D02">
              <w:t>supply, value, and demand chain monitoring and analysis</w:t>
            </w:r>
          </w:p>
          <w:p w:rsidR="00000000" w:rsidRPr="00CD2D02" w:rsidP="00CD2D02">
            <w:pPr>
              <w:pStyle w:val="ListBullet"/>
            </w:pPr>
            <w:r w:rsidRPr="00CD2D02">
              <w:t xml:space="preserve">5S </w:t>
            </w:r>
          </w:p>
          <w:p w:rsidR="00000000" w:rsidRPr="00CD2D02" w:rsidP="00CD2D02">
            <w:pPr>
              <w:pStyle w:val="ListBullet"/>
            </w:pPr>
            <w:r w:rsidRPr="00CD2D02">
              <w:t>continuous improvement (kaizen)</w:t>
            </w:r>
          </w:p>
          <w:p w:rsidR="00000000" w:rsidRPr="00CD2D02" w:rsidP="00CD2D02">
            <w:pPr>
              <w:pStyle w:val="ListBullet"/>
            </w:pPr>
            <w:r w:rsidRPr="00CD2D02">
              <w:t>breakthrough improvement (kaizen blitz)</w:t>
            </w:r>
          </w:p>
          <w:p w:rsidR="00000000" w:rsidRPr="00CD2D02" w:rsidP="00CD2D02">
            <w:pPr>
              <w:pStyle w:val="ListBullet"/>
            </w:pPr>
            <w:r w:rsidRPr="00CD2D02">
              <w:t>cause/effect diagrams</w:t>
            </w:r>
          </w:p>
          <w:p w:rsidR="00000000" w:rsidRPr="00CD2D02" w:rsidP="00CD2D02">
            <w:pPr>
              <w:pStyle w:val="ListBullet"/>
            </w:pPr>
            <w:r w:rsidRPr="00CD2D02">
              <w:t>overall equipment effecti</w:t>
            </w:r>
            <w:r w:rsidRPr="00CD2D02">
              <w:t>veness (OEE)</w:t>
            </w:r>
          </w:p>
          <w:p w:rsidR="00000000" w:rsidRPr="00CD2D02" w:rsidP="00CD2D02">
            <w:pPr>
              <w:pStyle w:val="ListBullet"/>
            </w:pPr>
            <w:r w:rsidRPr="00CD2D02">
              <w:t>takt time</w:t>
            </w:r>
          </w:p>
          <w:p w:rsidR="00000000" w:rsidRPr="00CD2D02" w:rsidP="00CD2D02">
            <w:pPr>
              <w:pStyle w:val="ListBullet"/>
            </w:pPr>
            <w:r w:rsidRPr="00CD2D02">
              <w:t>process mapping</w:t>
            </w:r>
          </w:p>
          <w:p w:rsidR="00000000" w:rsidRPr="00CD2D02" w:rsidP="00CD2D02">
            <w:pPr>
              <w:pStyle w:val="ListBullet"/>
            </w:pPr>
            <w:r w:rsidRPr="00CD2D02">
              <w:t xml:space="preserve">problem solving </w:t>
            </w:r>
          </w:p>
          <w:p w:rsidR="00000000" w:rsidRPr="00CD2D02" w:rsidP="00CD2D02">
            <w:pPr>
              <w:pStyle w:val="ListBullet"/>
            </w:pPr>
            <w:r w:rsidRPr="00CD2D02">
              <w:t>run charts</w:t>
            </w:r>
          </w:p>
          <w:p w:rsidR="00000000" w:rsidRPr="00CD2D02" w:rsidP="00CD2D02">
            <w:pPr>
              <w:pStyle w:val="ListBullet"/>
            </w:pPr>
            <w:r w:rsidRPr="00CD2D02">
              <w:t>standard procedures</w:t>
            </w:r>
          </w:p>
          <w:p w:rsidR="00000000" w:rsidRPr="00CD2D02" w:rsidP="00CD2D02">
            <w:pPr>
              <w:pStyle w:val="ListBullet"/>
            </w:pPr>
            <w:r w:rsidRPr="00CD2D02">
              <w:t>current reality tree.</w:t>
            </w:r>
          </w:p>
          <w:p w:rsidR="00000000" w:rsidP="00CD2D02">
            <w:pPr>
              <w:pStyle w:val="BodyText"/>
              <w:rPr>
                <w:lang w:val="en-NZ"/>
              </w:rPr>
            </w:pPr>
          </w:p>
        </w:tc>
      </w:tr>
      <w:tr w:rsidTr="00CD2D02">
        <w:tblPrEx>
          <w:tblW w:w="0" w:type="auto"/>
          <w:tblLayout w:type="fixed"/>
          <w:tblCellMar>
            <w:left w:w="62" w:type="dxa"/>
            <w:right w:w="62" w:type="dxa"/>
          </w:tblCellMar>
          <w:tblLook w:val="0000"/>
        </w:tblPrEx>
        <w:tc>
          <w:tcPr>
            <w:tcW w:w="2223" w:type="dxa"/>
            <w:tcBorders>
              <w:top w:val="nil"/>
              <w:left w:val="nil"/>
              <w:bottom w:val="nil"/>
              <w:right w:val="nil"/>
            </w:tcBorders>
            <w:tcMar>
              <w:top w:w="0" w:type="dxa"/>
              <w:left w:w="62" w:type="dxa"/>
              <w:bottom w:w="0" w:type="dxa"/>
              <w:right w:w="62" w:type="dxa"/>
            </w:tcMar>
          </w:tcPr>
          <w:p w:rsidR="00000000" w:rsidP="00CD2D02">
            <w:pPr>
              <w:pStyle w:val="BodyText"/>
              <w:rPr>
                <w:lang w:val="en-NZ"/>
              </w:rPr>
            </w:pPr>
            <w:r w:rsidRPr="00CD2D02">
              <w:rPr>
                <w:rStyle w:val="SpecialBold"/>
              </w:rPr>
              <w:t>Profiles of products include consideration of all of:</w:t>
            </w:r>
          </w:p>
        </w:tc>
        <w:tc>
          <w:tcPr>
            <w:tcW w:w="6849" w:type="dxa"/>
            <w:tcBorders>
              <w:top w:val="nil"/>
              <w:left w:val="nil"/>
              <w:bottom w:val="nil"/>
              <w:right w:val="nil"/>
            </w:tcBorders>
            <w:tcMar>
              <w:top w:w="0" w:type="dxa"/>
              <w:left w:w="62" w:type="dxa"/>
              <w:bottom w:w="0" w:type="dxa"/>
              <w:right w:w="62" w:type="dxa"/>
            </w:tcMar>
          </w:tcPr>
          <w:p w:rsidR="00000000" w:rsidRPr="00CD2D02" w:rsidP="00CD2D02">
            <w:pPr>
              <w:pStyle w:val="ListBullet"/>
            </w:pPr>
            <w:r w:rsidRPr="00CD2D02">
              <w:t>components/materials needed to manufacture</w:t>
            </w:r>
          </w:p>
          <w:p w:rsidR="00000000" w:rsidRPr="00CD2D02" w:rsidP="00CD2D02">
            <w:pPr>
              <w:pStyle w:val="ListBullet"/>
            </w:pPr>
            <w:r w:rsidRPr="00CD2D02">
              <w:t>equipment/technology/processes required to manufacture</w:t>
            </w:r>
          </w:p>
          <w:p w:rsidR="00000000" w:rsidRPr="00CD2D02" w:rsidP="00CD2D02">
            <w:pPr>
              <w:pStyle w:val="ListBullet"/>
            </w:pPr>
            <w:r w:rsidRPr="00CD2D02">
              <w:t>volume of activity to manufacture forecast amount</w:t>
            </w:r>
          </w:p>
          <w:p w:rsidR="00000000" w:rsidRPr="00CD2D02" w:rsidP="00CD2D02">
            <w:pPr>
              <w:pStyle w:val="ListBullet"/>
            </w:pPr>
            <w:r w:rsidRPr="00CD2D02">
              <w:t>required operations equipment/technology/processes.</w:t>
            </w:r>
          </w:p>
          <w:p w:rsidR="00000000" w:rsidP="00CD2D02">
            <w:pPr>
              <w:pStyle w:val="BodyText"/>
              <w:rPr>
                <w:lang w:val="en-NZ"/>
              </w:rPr>
            </w:pPr>
          </w:p>
        </w:tc>
      </w:tr>
      <w:tr w:rsidTr="00CD2D02">
        <w:tblPrEx>
          <w:tblW w:w="0" w:type="auto"/>
          <w:tblLayout w:type="fixed"/>
          <w:tblCellMar>
            <w:left w:w="62" w:type="dxa"/>
            <w:right w:w="62" w:type="dxa"/>
          </w:tblCellMar>
          <w:tblLook w:val="0000"/>
        </w:tblPrEx>
        <w:tc>
          <w:tcPr>
            <w:tcW w:w="2223" w:type="dxa"/>
            <w:tcBorders>
              <w:top w:val="nil"/>
              <w:left w:val="nil"/>
              <w:bottom w:val="nil"/>
              <w:right w:val="nil"/>
            </w:tcBorders>
            <w:tcMar>
              <w:top w:w="0" w:type="dxa"/>
              <w:left w:w="62" w:type="dxa"/>
              <w:bottom w:w="0" w:type="dxa"/>
              <w:right w:w="62" w:type="dxa"/>
            </w:tcMar>
          </w:tcPr>
          <w:p w:rsidR="00000000" w:rsidP="00CD2D02">
            <w:pPr>
              <w:pStyle w:val="BodyText"/>
              <w:rPr>
                <w:lang w:val="en-NZ"/>
              </w:rPr>
            </w:pPr>
            <w:r w:rsidRPr="00CD2D02">
              <w:rPr>
                <w:rStyle w:val="SpecialBold"/>
              </w:rPr>
              <w:t>Required resource times include consideration of all of:</w:t>
            </w:r>
          </w:p>
        </w:tc>
        <w:tc>
          <w:tcPr>
            <w:tcW w:w="6849" w:type="dxa"/>
            <w:tcBorders>
              <w:top w:val="nil"/>
              <w:left w:val="nil"/>
              <w:bottom w:val="nil"/>
              <w:right w:val="nil"/>
            </w:tcBorders>
            <w:tcMar>
              <w:top w:w="0" w:type="dxa"/>
              <w:left w:w="62" w:type="dxa"/>
              <w:bottom w:w="0" w:type="dxa"/>
              <w:right w:w="62" w:type="dxa"/>
            </w:tcMar>
          </w:tcPr>
          <w:p w:rsidR="00000000" w:rsidRPr="00CD2D02" w:rsidP="00CD2D02">
            <w:pPr>
              <w:pStyle w:val="ListBullet"/>
            </w:pPr>
            <w:r w:rsidRPr="00CD2D02">
              <w:t>set-up time</w:t>
            </w:r>
          </w:p>
          <w:p w:rsidR="00000000" w:rsidRPr="00CD2D02" w:rsidP="00CD2D02">
            <w:pPr>
              <w:pStyle w:val="ListBullet"/>
            </w:pPr>
            <w:r w:rsidRPr="00CD2D02">
              <w:t>equipment time</w:t>
            </w:r>
          </w:p>
          <w:p w:rsidR="00000000" w:rsidRPr="00CD2D02" w:rsidP="00CD2D02">
            <w:pPr>
              <w:pStyle w:val="ListBullet"/>
            </w:pPr>
            <w:r w:rsidRPr="00CD2D02">
              <w:t>person time</w:t>
            </w:r>
          </w:p>
          <w:p w:rsidR="00000000" w:rsidRPr="00CD2D02" w:rsidP="00CD2D02">
            <w:pPr>
              <w:pStyle w:val="ListBullet"/>
            </w:pPr>
            <w:r w:rsidRPr="00CD2D02">
              <w:t>process time.</w:t>
            </w:r>
          </w:p>
          <w:p w:rsidR="00000000" w:rsidP="00CD2D02">
            <w:pPr>
              <w:pStyle w:val="BodyText"/>
              <w:rPr>
                <w:lang w:val="en-NZ"/>
              </w:rPr>
            </w:pPr>
          </w:p>
        </w:tc>
      </w:tr>
      <w:tr w:rsidTr="00CD2D02">
        <w:tblPrEx>
          <w:tblW w:w="0" w:type="auto"/>
          <w:tblLayout w:type="fixed"/>
          <w:tblCellMar>
            <w:left w:w="62" w:type="dxa"/>
            <w:right w:w="62" w:type="dxa"/>
          </w:tblCellMar>
          <w:tblLook w:val="0000"/>
        </w:tblPrEx>
        <w:tc>
          <w:tcPr>
            <w:tcW w:w="2223" w:type="dxa"/>
            <w:tcBorders>
              <w:top w:val="nil"/>
              <w:left w:val="nil"/>
              <w:bottom w:val="nil"/>
              <w:right w:val="nil"/>
            </w:tcBorders>
            <w:tcMar>
              <w:top w:w="0" w:type="dxa"/>
              <w:left w:w="62" w:type="dxa"/>
              <w:bottom w:w="0" w:type="dxa"/>
              <w:right w:w="62" w:type="dxa"/>
            </w:tcMar>
          </w:tcPr>
          <w:p w:rsidR="00000000" w:rsidP="00CD2D02">
            <w:pPr>
              <w:pStyle w:val="BodyText"/>
              <w:rPr>
                <w:lang w:val="en-NZ"/>
              </w:rPr>
            </w:pPr>
            <w:r w:rsidRPr="00CD2D02">
              <w:rPr>
                <w:rStyle w:val="SpecialBold"/>
              </w:rPr>
              <w:t>Lot size includes one or more of:</w:t>
            </w:r>
          </w:p>
        </w:tc>
        <w:tc>
          <w:tcPr>
            <w:tcW w:w="6849" w:type="dxa"/>
            <w:tcBorders>
              <w:top w:val="nil"/>
              <w:left w:val="nil"/>
              <w:bottom w:val="nil"/>
              <w:right w:val="nil"/>
            </w:tcBorders>
            <w:tcMar>
              <w:top w:w="0" w:type="dxa"/>
              <w:left w:w="62" w:type="dxa"/>
              <w:bottom w:w="0" w:type="dxa"/>
              <w:right w:w="62" w:type="dxa"/>
            </w:tcMar>
          </w:tcPr>
          <w:p w:rsidR="00000000" w:rsidRPr="00CD2D02" w:rsidP="00CD2D02">
            <w:pPr>
              <w:pStyle w:val="ListBullet"/>
            </w:pPr>
            <w:r w:rsidRPr="00CD2D02">
              <w:t>external lot size</w:t>
            </w:r>
          </w:p>
          <w:p w:rsidR="00000000" w:rsidRPr="00CD2D02" w:rsidP="00CD2D02">
            <w:pPr>
              <w:pStyle w:val="ListBullet"/>
            </w:pPr>
            <w:r w:rsidRPr="00CD2D02">
              <w:t>internal lot size</w:t>
            </w:r>
          </w:p>
          <w:p w:rsidR="00000000" w:rsidRPr="00CD2D02" w:rsidP="00CD2D02">
            <w:pPr>
              <w:pStyle w:val="ListBullet"/>
            </w:pPr>
            <w:r w:rsidRPr="00CD2D02">
              <w:t>transfer batch size</w:t>
            </w:r>
          </w:p>
          <w:p w:rsidR="00000000" w:rsidRPr="00CD2D02" w:rsidP="00CD2D02">
            <w:pPr>
              <w:pStyle w:val="ListBullet"/>
            </w:pPr>
            <w:r w:rsidRPr="00CD2D02">
              <w:t>kanban size.</w:t>
            </w:r>
          </w:p>
          <w:p w:rsidR="00000000" w:rsidP="00CD2D02">
            <w:pPr>
              <w:pStyle w:val="BodyText"/>
              <w:rPr>
                <w:lang w:val="en-NZ"/>
              </w:rPr>
            </w:pPr>
          </w:p>
        </w:tc>
      </w:tr>
      <w:tr w:rsidTr="00CD2D02">
        <w:tblPrEx>
          <w:tblW w:w="0" w:type="auto"/>
          <w:tblLayout w:type="fixed"/>
          <w:tblCellMar>
            <w:left w:w="62" w:type="dxa"/>
            <w:right w:w="62" w:type="dxa"/>
          </w:tblCellMar>
          <w:tblLook w:val="0000"/>
        </w:tblPrEx>
        <w:tc>
          <w:tcPr>
            <w:tcW w:w="2223" w:type="dxa"/>
            <w:tcBorders>
              <w:top w:val="nil"/>
              <w:left w:val="nil"/>
              <w:bottom w:val="nil"/>
              <w:right w:val="nil"/>
            </w:tcBorders>
            <w:tcMar>
              <w:top w:w="0" w:type="dxa"/>
              <w:left w:w="62" w:type="dxa"/>
              <w:bottom w:w="0" w:type="dxa"/>
              <w:right w:w="62" w:type="dxa"/>
            </w:tcMar>
          </w:tcPr>
          <w:p w:rsidR="00000000" w:rsidP="00CD2D02">
            <w:pPr>
              <w:pStyle w:val="BodyText"/>
              <w:rPr>
                <w:lang w:val="en-NZ"/>
              </w:rPr>
            </w:pPr>
            <w:r w:rsidRPr="00CD2D02">
              <w:rPr>
                <w:rStyle w:val="SpecialBold"/>
              </w:rPr>
              <w:t>Viability includes consideration of all of:</w:t>
            </w:r>
          </w:p>
        </w:tc>
        <w:tc>
          <w:tcPr>
            <w:tcW w:w="6849" w:type="dxa"/>
            <w:tcBorders>
              <w:top w:val="nil"/>
              <w:left w:val="nil"/>
              <w:bottom w:val="nil"/>
              <w:right w:val="nil"/>
            </w:tcBorders>
            <w:tcMar>
              <w:top w:w="0" w:type="dxa"/>
              <w:left w:w="62" w:type="dxa"/>
              <w:bottom w:w="0" w:type="dxa"/>
              <w:right w:w="62" w:type="dxa"/>
            </w:tcMar>
          </w:tcPr>
          <w:p w:rsidR="00000000" w:rsidRPr="00CD2D02" w:rsidP="00CD2D02">
            <w:pPr>
              <w:pStyle w:val="ListBullet"/>
            </w:pPr>
            <w:r w:rsidRPr="00CD2D02">
              <w:t>appropriate calculated processing times</w:t>
            </w:r>
          </w:p>
          <w:p w:rsidR="00000000" w:rsidRPr="00CD2D02" w:rsidP="00CD2D02">
            <w:pPr>
              <w:pStyle w:val="ListBullet"/>
            </w:pPr>
            <w:r w:rsidRPr="00CD2D02">
              <w:t>adequacy of equipment utilisation</w:t>
            </w:r>
          </w:p>
          <w:p w:rsidR="00000000" w:rsidRPr="00CD2D02" w:rsidP="00CD2D02">
            <w:pPr>
              <w:pStyle w:val="ListBullet"/>
            </w:pPr>
            <w:r w:rsidRPr="00CD2D02">
              <w:t>acceptable maintenance implications</w:t>
            </w:r>
          </w:p>
          <w:p w:rsidR="00000000" w:rsidRPr="00CD2D02" w:rsidP="00CD2D02">
            <w:pPr>
              <w:pStyle w:val="ListBullet"/>
            </w:pPr>
            <w:r w:rsidRPr="00CD2D02">
              <w:t>ability to meet WHS requirements</w:t>
            </w:r>
          </w:p>
          <w:p w:rsidR="00000000" w:rsidRPr="00CD2D02" w:rsidP="00CD2D02">
            <w:pPr>
              <w:pStyle w:val="ListBullet"/>
            </w:pPr>
            <w:r w:rsidRPr="00CD2D02">
              <w:t>ability to meet environmental requirements</w:t>
            </w:r>
          </w:p>
          <w:p w:rsidR="00000000" w:rsidRPr="00CD2D02" w:rsidP="00CD2D02">
            <w:pPr>
              <w:pStyle w:val="ListBullet"/>
            </w:pPr>
            <w:r w:rsidRPr="00CD2D02">
              <w:t>compliance with any legislative and regulatory requirements</w:t>
            </w:r>
          </w:p>
          <w:p w:rsidR="00000000" w:rsidRPr="00CD2D02" w:rsidP="00CD2D02">
            <w:pPr>
              <w:pStyle w:val="ListBullet"/>
            </w:pPr>
            <w:r w:rsidRPr="00CD2D02">
              <w:t>acceptable to stakeholders.</w:t>
            </w:r>
          </w:p>
          <w:p w:rsidR="00000000" w:rsidP="00CD2D02">
            <w:pPr>
              <w:pStyle w:val="BodyText"/>
              <w:rPr>
                <w:lang w:val="en-NZ"/>
              </w:rPr>
            </w:pPr>
          </w:p>
        </w:tc>
      </w:tr>
      <w:tr w:rsidTr="00CD2D02">
        <w:tblPrEx>
          <w:tblW w:w="0" w:type="auto"/>
          <w:tblLayout w:type="fixed"/>
          <w:tblCellMar>
            <w:left w:w="62" w:type="dxa"/>
            <w:right w:w="62" w:type="dxa"/>
          </w:tblCellMar>
          <w:tblLook w:val="0000"/>
        </w:tblPrEx>
        <w:tc>
          <w:tcPr>
            <w:tcW w:w="2223" w:type="dxa"/>
            <w:tcBorders>
              <w:top w:val="nil"/>
              <w:left w:val="nil"/>
              <w:bottom w:val="nil"/>
              <w:right w:val="nil"/>
            </w:tcBorders>
            <w:tcMar>
              <w:top w:w="0" w:type="dxa"/>
              <w:left w:w="62" w:type="dxa"/>
              <w:bottom w:w="0" w:type="dxa"/>
              <w:right w:w="62" w:type="dxa"/>
            </w:tcMar>
          </w:tcPr>
          <w:p w:rsidR="00000000" w:rsidP="00CD2D02">
            <w:pPr>
              <w:pStyle w:val="BodyText"/>
              <w:rPr>
                <w:lang w:val="en-NZ"/>
              </w:rPr>
            </w:pPr>
            <w:r w:rsidRPr="00CD2D02">
              <w:rPr>
                <w:rStyle w:val="SpecialBold"/>
              </w:rPr>
              <w:t>Stakeholders include one or more of:</w:t>
            </w:r>
          </w:p>
        </w:tc>
        <w:tc>
          <w:tcPr>
            <w:tcW w:w="6849" w:type="dxa"/>
            <w:tcBorders>
              <w:top w:val="nil"/>
              <w:left w:val="nil"/>
              <w:bottom w:val="nil"/>
              <w:right w:val="nil"/>
            </w:tcBorders>
            <w:tcMar>
              <w:top w:w="0" w:type="dxa"/>
              <w:left w:w="62" w:type="dxa"/>
              <w:bottom w:w="0" w:type="dxa"/>
              <w:right w:w="62" w:type="dxa"/>
            </w:tcMar>
          </w:tcPr>
          <w:p w:rsidR="00000000" w:rsidRPr="00CD2D02" w:rsidP="00CD2D02">
            <w:pPr>
              <w:pStyle w:val="ListBullet"/>
            </w:pPr>
            <w:r w:rsidRPr="00CD2D02">
              <w:t>customers</w:t>
            </w:r>
          </w:p>
          <w:p w:rsidR="00000000" w:rsidRPr="00CD2D02" w:rsidP="00CD2D02">
            <w:pPr>
              <w:pStyle w:val="ListBullet"/>
            </w:pPr>
            <w:r w:rsidRPr="00CD2D02">
              <w:t>employees</w:t>
            </w:r>
          </w:p>
          <w:p w:rsidR="00000000" w:rsidRPr="00CD2D02" w:rsidP="00CD2D02">
            <w:pPr>
              <w:pStyle w:val="ListBullet"/>
            </w:pPr>
            <w:r w:rsidRPr="00CD2D02">
              <w:t>equipment suppliers and contractors (especially if new equipment required)</w:t>
            </w:r>
          </w:p>
          <w:p w:rsidR="00000000" w:rsidRPr="00CD2D02" w:rsidP="00CD2D02">
            <w:pPr>
              <w:pStyle w:val="ListBullet"/>
            </w:pPr>
            <w:r w:rsidRPr="00CD2D02">
              <w:t>regulatory authorities</w:t>
            </w:r>
          </w:p>
          <w:p w:rsidR="00000000" w:rsidRPr="00CD2D02" w:rsidP="00CD2D02">
            <w:pPr>
              <w:pStyle w:val="ListBullet"/>
            </w:pPr>
            <w:r w:rsidRPr="00CD2D02">
              <w:t>local community representatives</w:t>
            </w:r>
          </w:p>
          <w:p w:rsidR="00000000" w:rsidRPr="00CD2D02" w:rsidP="00CD2D02">
            <w:pPr>
              <w:pStyle w:val="ListBullet"/>
            </w:pPr>
            <w:r w:rsidRPr="00CD2D02">
              <w:t>utilities (e.g. water and power).</w:t>
            </w:r>
          </w:p>
          <w:p w:rsidR="00000000" w:rsidP="00CD2D02">
            <w:pPr>
              <w:pStyle w:val="BodyText"/>
              <w:rPr>
                <w:lang w:val="en-NZ"/>
              </w:rPr>
            </w:pPr>
          </w:p>
        </w:tc>
      </w:tr>
      <w:tr w:rsidTr="00CD2D02">
        <w:tblPrEx>
          <w:tblW w:w="0" w:type="auto"/>
          <w:tblLayout w:type="fixed"/>
          <w:tblCellMar>
            <w:left w:w="62" w:type="dxa"/>
            <w:right w:w="62" w:type="dxa"/>
          </w:tblCellMar>
          <w:tblLook w:val="0000"/>
        </w:tblPrEx>
        <w:tc>
          <w:tcPr>
            <w:tcW w:w="2223" w:type="dxa"/>
            <w:tcBorders>
              <w:top w:val="nil"/>
              <w:left w:val="nil"/>
              <w:bottom w:val="nil"/>
              <w:right w:val="nil"/>
            </w:tcBorders>
            <w:tcMar>
              <w:top w:w="0" w:type="dxa"/>
              <w:left w:w="62" w:type="dxa"/>
              <w:bottom w:w="0" w:type="dxa"/>
              <w:right w:w="62" w:type="dxa"/>
            </w:tcMar>
          </w:tcPr>
          <w:p w:rsidR="00000000" w:rsidP="00CD2D02">
            <w:pPr>
              <w:pStyle w:val="BodyText"/>
              <w:rPr>
                <w:lang w:val="en-NZ"/>
              </w:rPr>
            </w:pPr>
            <w:r w:rsidRPr="00CD2D02">
              <w:rPr>
                <w:rStyle w:val="SpecialBold"/>
              </w:rPr>
              <w:t>Physical infrastructure includes one or more of:</w:t>
            </w:r>
          </w:p>
        </w:tc>
        <w:tc>
          <w:tcPr>
            <w:tcW w:w="6849" w:type="dxa"/>
            <w:tcBorders>
              <w:top w:val="nil"/>
              <w:left w:val="nil"/>
              <w:bottom w:val="nil"/>
              <w:right w:val="nil"/>
            </w:tcBorders>
            <w:tcMar>
              <w:top w:w="0" w:type="dxa"/>
              <w:left w:w="62" w:type="dxa"/>
              <w:bottom w:w="0" w:type="dxa"/>
              <w:right w:w="62" w:type="dxa"/>
            </w:tcMar>
          </w:tcPr>
          <w:p w:rsidR="00000000" w:rsidRPr="00CD2D02" w:rsidP="00CD2D02">
            <w:pPr>
              <w:pStyle w:val="ListBullet"/>
            </w:pPr>
            <w:r w:rsidRPr="00CD2D02">
              <w:t>containers/packaging</w:t>
            </w:r>
          </w:p>
          <w:p w:rsidR="00000000" w:rsidRPr="00CD2D02" w:rsidP="00CD2D02">
            <w:pPr>
              <w:pStyle w:val="ListBullet"/>
            </w:pPr>
            <w:r w:rsidRPr="00CD2D02">
              <w:t>material handling equipment (e.g. pipes, tanks, conveyors and hoppers)</w:t>
            </w:r>
          </w:p>
          <w:p w:rsidR="00000000" w:rsidRPr="00CD2D02" w:rsidP="00CD2D02">
            <w:pPr>
              <w:pStyle w:val="ListBullet"/>
            </w:pPr>
            <w:r w:rsidRPr="00CD2D02">
              <w:t>utilities supply (e.g. steam, air, gas, electricity and water).</w:t>
            </w:r>
          </w:p>
          <w:p w:rsidR="00000000" w:rsidP="00CD2D02">
            <w:pPr>
              <w:pStyle w:val="BodyText"/>
              <w:rPr>
                <w:lang w:val="en-NZ"/>
              </w:rPr>
            </w:pPr>
          </w:p>
        </w:tc>
      </w:tr>
      <w:tr w:rsidTr="00CD2D02">
        <w:tblPrEx>
          <w:tblW w:w="0" w:type="auto"/>
          <w:tblLayout w:type="fixed"/>
          <w:tblCellMar>
            <w:left w:w="62" w:type="dxa"/>
            <w:right w:w="62" w:type="dxa"/>
          </w:tblCellMar>
          <w:tblLook w:val="0000"/>
        </w:tblPrEx>
        <w:tc>
          <w:tcPr>
            <w:tcW w:w="2223" w:type="dxa"/>
            <w:tcBorders>
              <w:top w:val="nil"/>
              <w:left w:val="nil"/>
              <w:bottom w:val="nil"/>
              <w:right w:val="nil"/>
            </w:tcBorders>
            <w:tcMar>
              <w:top w:w="0" w:type="dxa"/>
              <w:left w:w="62" w:type="dxa"/>
              <w:bottom w:w="0" w:type="dxa"/>
              <w:right w:w="62" w:type="dxa"/>
            </w:tcMar>
          </w:tcPr>
          <w:p w:rsidR="00000000" w:rsidP="00CD2D02">
            <w:pPr>
              <w:pStyle w:val="BodyText"/>
              <w:rPr>
                <w:lang w:val="en-NZ"/>
              </w:rPr>
            </w:pPr>
            <w:r w:rsidRPr="00CD2D02">
              <w:rPr>
                <w:rStyle w:val="SpecialBold"/>
              </w:rPr>
              <w:t>Information and control infrastructure includes one or more of:</w:t>
            </w:r>
          </w:p>
        </w:tc>
        <w:tc>
          <w:tcPr>
            <w:tcW w:w="6849" w:type="dxa"/>
            <w:tcBorders>
              <w:top w:val="nil"/>
              <w:left w:val="nil"/>
              <w:bottom w:val="nil"/>
              <w:right w:val="nil"/>
            </w:tcBorders>
            <w:tcMar>
              <w:top w:w="0" w:type="dxa"/>
              <w:left w:w="62" w:type="dxa"/>
              <w:bottom w:w="0" w:type="dxa"/>
              <w:right w:w="62" w:type="dxa"/>
            </w:tcMar>
          </w:tcPr>
          <w:p w:rsidR="00000000" w:rsidRPr="00CD2D02" w:rsidP="00CD2D02">
            <w:pPr>
              <w:pStyle w:val="ListBullet"/>
            </w:pPr>
            <w:r w:rsidRPr="00CD2D02">
              <w:t>quality assurance</w:t>
            </w:r>
          </w:p>
          <w:p w:rsidR="00000000" w:rsidRPr="00CD2D02" w:rsidP="00CD2D02">
            <w:pPr>
              <w:pStyle w:val="ListBullet"/>
            </w:pPr>
            <w:r w:rsidRPr="00CD2D02">
              <w:t>statistical process control (SPC)/si</w:t>
            </w:r>
            <w:r w:rsidRPr="00CD2D02">
              <w:t>x sigma</w:t>
            </w:r>
          </w:p>
          <w:p w:rsidR="00000000" w:rsidRPr="00CD2D02" w:rsidP="00CD2D02">
            <w:pPr>
              <w:pStyle w:val="ListBullet"/>
            </w:pPr>
            <w:r w:rsidRPr="00CD2D02">
              <w:t>planning systems/software</w:t>
            </w:r>
          </w:p>
          <w:p w:rsidR="00000000" w:rsidRPr="00CD2D02" w:rsidP="00CD2D02">
            <w:pPr>
              <w:pStyle w:val="ListBullet"/>
            </w:pPr>
            <w:r w:rsidRPr="00CD2D02">
              <w:t>data collection and control systems/software.</w:t>
            </w:r>
          </w:p>
          <w:p w:rsidR="00000000" w:rsidP="00CD2D02">
            <w:pPr>
              <w:pStyle w:val="BodyText"/>
              <w:rPr>
                <w:lang w:val="en-NZ"/>
              </w:rPr>
            </w:pPr>
          </w:p>
        </w:tc>
      </w:tr>
      <w:tr w:rsidTr="00CD2D02">
        <w:tblPrEx>
          <w:tblW w:w="0" w:type="auto"/>
          <w:tblLayout w:type="fixed"/>
          <w:tblCellMar>
            <w:left w:w="62" w:type="dxa"/>
            <w:right w:w="62" w:type="dxa"/>
          </w:tblCellMar>
          <w:tblLook w:val="0000"/>
        </w:tblPrEx>
        <w:tc>
          <w:tcPr>
            <w:tcW w:w="2223" w:type="dxa"/>
            <w:tcBorders>
              <w:top w:val="nil"/>
              <w:left w:val="nil"/>
              <w:bottom w:val="nil"/>
              <w:right w:val="nil"/>
            </w:tcBorders>
            <w:tcMar>
              <w:top w:w="0" w:type="dxa"/>
              <w:left w:w="62" w:type="dxa"/>
              <w:bottom w:w="0" w:type="dxa"/>
              <w:right w:w="62" w:type="dxa"/>
            </w:tcMar>
          </w:tcPr>
          <w:p w:rsidR="00000000" w:rsidRPr="00CD2D02" w:rsidP="00CD2D02">
            <w:pPr>
              <w:pStyle w:val="BodyText"/>
            </w:pPr>
            <w:r w:rsidRPr="00CD2D02">
              <w:rPr>
                <w:rStyle w:val="SpecialBold"/>
              </w:rPr>
              <w:t>Work organisation includes all of:</w:t>
            </w:r>
          </w:p>
          <w:p w:rsidR="00000000" w:rsidP="00CD2D02">
            <w:pPr>
              <w:pStyle w:val="BodyText"/>
              <w:rPr>
                <w:lang w:val="en-NZ"/>
              </w:rPr>
            </w:pPr>
          </w:p>
        </w:tc>
        <w:tc>
          <w:tcPr>
            <w:tcW w:w="6849" w:type="dxa"/>
            <w:tcBorders>
              <w:top w:val="nil"/>
              <w:left w:val="nil"/>
              <w:bottom w:val="nil"/>
              <w:right w:val="nil"/>
            </w:tcBorders>
            <w:tcMar>
              <w:top w:w="0" w:type="dxa"/>
              <w:left w:w="62" w:type="dxa"/>
              <w:bottom w:w="0" w:type="dxa"/>
              <w:right w:w="62" w:type="dxa"/>
            </w:tcMar>
          </w:tcPr>
          <w:p w:rsidR="00000000" w:rsidRPr="00CD2D02" w:rsidP="00CD2D02">
            <w:pPr>
              <w:pStyle w:val="ListBullet"/>
            </w:pPr>
            <w:r w:rsidRPr="00CD2D02">
              <w:t>number of personnel</w:t>
            </w:r>
          </w:p>
          <w:p w:rsidR="00000000" w:rsidRPr="00CD2D02" w:rsidP="00CD2D02">
            <w:pPr>
              <w:pStyle w:val="ListBullet"/>
            </w:pPr>
            <w:r w:rsidRPr="00CD2D02">
              <w:t>skills/capability mix of workforce.</w:t>
            </w:r>
          </w:p>
          <w:p w:rsidR="00000000" w:rsidRPr="00CD2D02" w:rsidP="00CD2D02">
            <w:pPr>
              <w:pStyle w:val="BodyText"/>
            </w:pPr>
          </w:p>
        </w:tc>
      </w:tr>
    </w:tbl>
    <w:p w:rsidR="00000000" w:rsidRPr="00CD2D02" w:rsidP="00CD2D02">
      <w:pPr>
        <w:pStyle w:val="BodyText"/>
      </w:pPr>
    </w:p>
    <w:p w:rsidR="00000000" w:rsidRPr="00CD2D02" w:rsidP="00CD2D02">
      <w:pPr>
        <w:pStyle w:val="AllowPageBreak"/>
      </w:pPr>
    </w:p>
    <w:p w:rsidR="00000000" w:rsidRPr="00CD2D02" w:rsidP="00CD2D02">
      <w:pPr>
        <w:pStyle w:val="Heading1"/>
      </w:pPr>
      <w:bookmarkStart w:id="9" w:name="O_921234"/>
      <w:bookmarkEnd w:id="9"/>
      <w:r w:rsidRPr="00CD2D02">
        <w:t>Unit Mapping Information</w:t>
      </w:r>
    </w:p>
    <w:p w:rsidR="00000000" w:rsidRPr="00CD2D02" w:rsidP="001559BF">
      <w:pPr>
        <w:pStyle w:val="BodyText"/>
      </w:pPr>
      <w:r w:rsidRPr="00CD2D02">
        <w:t>Release 1. Supersedes and is equivalent to MSS405022A Design a process layout</w:t>
      </w:r>
    </w:p>
    <w:p w:rsidR="00000000" w:rsidRPr="00CD2D02" w:rsidP="00CD2D02">
      <w:pPr>
        <w:pStyle w:val="Heading1"/>
      </w:pPr>
      <w:bookmarkStart w:id="10" w:name="O_921227"/>
      <w:bookmarkEnd w:id="10"/>
      <w:r w:rsidRPr="00CD2D02">
        <w:t>Links</w:t>
      </w:r>
    </w:p>
    <w:p w:rsidR="00000000" w:rsidRPr="00CD2D02" w:rsidP="001559BF">
      <w:pPr>
        <w:pStyle w:val="BodyText"/>
      </w:pPr>
      <w:r w:rsidRPr="00CD2D02">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D75C35">
        <w:rPr>
          <w:rStyle w:val="Hyperlink"/>
        </w:rPr>
        <w:t>https://vetnet.gov.au/Pages/TrainingDocs.aspx?q=5b04f318-804f-4dc0-9463-c3fb9a3fe998</w:t>
      </w:r>
      <w:r>
        <w:fldChar w:fldCharType="end"/>
      </w:r>
    </w:p>
    <w:p w:rsidR="00000000" w:rsidRPr="00CD2D02" w:rsidP="001559BF">
      <w:pPr>
        <w:pStyle w:val="BodyText"/>
        <w:sectPr w:rsidSect="00CD2D02">
          <w:headerReference w:type="default" r:id="rId10"/>
          <w:footerReference w:type="default" r:id="rId11"/>
          <w:pgSz w:w="11908" w:h="16833"/>
          <w:pgMar w:top="1702" w:right="1418" w:bottom="1702" w:left="1418" w:header="992" w:footer="992" w:gutter="0"/>
          <w:cols w:space="720"/>
          <w:noEndnote/>
          <w:docGrid w:linePitch="299"/>
        </w:sectPr>
      </w:pPr>
    </w:p>
    <w:p w:rsidR="00000000" w:rsidRPr="00CD2D02" w:rsidP="00CD2D02">
      <w:pPr>
        <w:pStyle w:val="SuperHeading"/>
      </w:pPr>
      <w:r w:rsidRPr="00CD2D02">
        <w:t>Assessment Requirements for MSS405022 Design a process layout</w:t>
      </w:r>
    </w:p>
    <w:p w:rsidR="00000000" w:rsidRPr="00CD2D02" w:rsidP="00CD2D02">
      <w:pPr>
        <w:pStyle w:val="Heading1"/>
      </w:pPr>
      <w:bookmarkStart w:id="11" w:name="O_921229"/>
      <w:bookmarkEnd w:id="11"/>
      <w:r w:rsidRPr="00CD2D02">
        <w:t>Modification History</w:t>
      </w:r>
    </w:p>
    <w:p w:rsidR="00000000" w:rsidRPr="00CD2D02" w:rsidP="001559BF">
      <w:pPr>
        <w:pStyle w:val="BodyText"/>
      </w:pPr>
      <w:r w:rsidRPr="00CD2D02">
        <w:t>Release 1. Supersedes and is equivalent to MSS405022A Design a process layout</w:t>
      </w:r>
    </w:p>
    <w:p w:rsidR="00000000" w:rsidRPr="00CD2D02" w:rsidP="00CD2D02">
      <w:pPr>
        <w:pStyle w:val="Heading1"/>
      </w:pPr>
      <w:bookmarkStart w:id="12" w:name="O_921232"/>
      <w:bookmarkEnd w:id="12"/>
      <w:r w:rsidRPr="00CD2D02">
        <w:t>Performance Evidence</w:t>
      </w:r>
    </w:p>
    <w:p w:rsidR="00000000" w:rsidRPr="00CD2D02" w:rsidP="001559BF">
      <w:pPr>
        <w:pStyle w:val="BodyText"/>
      </w:pPr>
      <w:r w:rsidRPr="00CD2D02">
        <w:t>Evidence required to demonstrate competence in this unit must be relevant to and satisfy the requirements of the elements and performance criteria and include the ability to design a layout for one (1) or more processes and to:</w:t>
      </w:r>
    </w:p>
    <w:p w:rsidR="00000000" w:rsidRPr="00CD2D02" w:rsidP="00CD2D02">
      <w:pPr>
        <w:pStyle w:val="ListBullet"/>
      </w:pPr>
      <w:r w:rsidRPr="00CD2D02">
        <w:t>identi</w:t>
      </w:r>
      <w:r w:rsidRPr="00CD2D02">
        <w:t>fy products and processes</w:t>
      </w:r>
    </w:p>
    <w:p w:rsidR="00000000" w:rsidRPr="00CD2D02" w:rsidP="00CD2D02">
      <w:pPr>
        <w:pStyle w:val="ListBullet"/>
      </w:pPr>
      <w:r w:rsidRPr="00CD2D02">
        <w:t>engineer the process</w:t>
      </w:r>
    </w:p>
    <w:p w:rsidR="00000000" w:rsidRPr="00CD2D02" w:rsidP="00CD2D02">
      <w:pPr>
        <w:pStyle w:val="ListBullet"/>
      </w:pPr>
      <w:r w:rsidRPr="00CD2D02">
        <w:t>design the infrastructure</w:t>
      </w:r>
    </w:p>
    <w:p w:rsidR="00000000" w:rsidRPr="00CD2D02" w:rsidP="00CD2D02">
      <w:pPr>
        <w:pStyle w:val="ListBullet"/>
      </w:pPr>
      <w:r w:rsidRPr="00CD2D02">
        <w:t>lay out the process.</w:t>
      </w:r>
    </w:p>
    <w:p w:rsidR="00000000" w:rsidRPr="00CD2D02" w:rsidP="00CD2D02">
      <w:pPr>
        <w:pStyle w:val="AllowPageBreak"/>
      </w:pPr>
    </w:p>
    <w:p w:rsidR="00000000" w:rsidRPr="00CD2D02" w:rsidP="00CD2D02">
      <w:pPr>
        <w:pStyle w:val="Heading1"/>
      </w:pPr>
      <w:bookmarkStart w:id="13" w:name="O_921231"/>
      <w:bookmarkEnd w:id="13"/>
      <w:r w:rsidRPr="00CD2D02">
        <w:t>Knowledge Evidence</w:t>
      </w:r>
    </w:p>
    <w:p w:rsidR="00000000" w:rsidRPr="00CD2D02" w:rsidP="001559BF">
      <w:pPr>
        <w:pStyle w:val="BodyText"/>
      </w:pPr>
      <w:r w:rsidRPr="00CD2D02">
        <w:t>Must provide evidence that demonstrates sufficient knowledge to interact with relevant personnel and be able to design a proce</w:t>
      </w:r>
      <w:r w:rsidRPr="00CD2D02">
        <w:t>ss layout, including knowledge of:</w:t>
      </w:r>
    </w:p>
    <w:p w:rsidR="00000000" w:rsidRPr="00CD2D02" w:rsidP="00CD2D02">
      <w:pPr>
        <w:pStyle w:val="ListBullet"/>
      </w:pPr>
      <w:r w:rsidRPr="00CD2D02">
        <w:t>customer requirements in terms of order size and order pattern</w:t>
      </w:r>
    </w:p>
    <w:p w:rsidR="00000000" w:rsidRPr="00CD2D02" w:rsidP="00CD2D02">
      <w:pPr>
        <w:pStyle w:val="ListBullet"/>
      </w:pPr>
      <w:r w:rsidRPr="00CD2D02">
        <w:t>processing requirements for products</w:t>
      </w:r>
    </w:p>
    <w:p w:rsidR="00000000" w:rsidRPr="00CD2D02" w:rsidP="00CD2D02">
      <w:pPr>
        <w:pStyle w:val="ListBullet"/>
      </w:pPr>
      <w:r w:rsidRPr="00CD2D02">
        <w:t>equipment capabilities and reliability</w:t>
      </w:r>
    </w:p>
    <w:p w:rsidR="00000000" w:rsidRPr="00CD2D02" w:rsidP="00CD2D02">
      <w:pPr>
        <w:pStyle w:val="ListBullet"/>
      </w:pPr>
      <w:r w:rsidRPr="00CD2D02">
        <w:t>workforce capabilities and reliability</w:t>
      </w:r>
    </w:p>
    <w:p w:rsidR="00000000" w:rsidRPr="00CD2D02" w:rsidP="00CD2D02">
      <w:pPr>
        <w:pStyle w:val="ListBullet"/>
      </w:pPr>
      <w:r w:rsidRPr="00CD2D02">
        <w:t>business requirements from layout</w:t>
      </w:r>
    </w:p>
    <w:p w:rsidR="00000000" w:rsidRPr="00CD2D02" w:rsidP="00CD2D02">
      <w:pPr>
        <w:pStyle w:val="ListBullet"/>
      </w:pPr>
      <w:r w:rsidRPr="00CD2D02">
        <w:t>work health and safety (WHS) and other regulatory requirements</w:t>
      </w:r>
    </w:p>
    <w:p w:rsidR="00000000" w:rsidRPr="00CD2D02" w:rsidP="00CD2D02">
      <w:pPr>
        <w:pStyle w:val="ListBullet"/>
      </w:pPr>
      <w:r w:rsidRPr="00CD2D02">
        <w:t>principles of process layout.</w:t>
      </w:r>
    </w:p>
    <w:p w:rsidR="00000000" w:rsidRPr="00CD2D02" w:rsidP="00CD2D02">
      <w:pPr>
        <w:pStyle w:val="AllowPageBreak"/>
      </w:pPr>
    </w:p>
    <w:p w:rsidR="00000000" w:rsidRPr="00CD2D02" w:rsidP="00CD2D02">
      <w:pPr>
        <w:pStyle w:val="Heading1"/>
      </w:pPr>
      <w:bookmarkStart w:id="14" w:name="O_921230"/>
      <w:bookmarkEnd w:id="14"/>
      <w:r w:rsidRPr="00CD2D02">
        <w:t>Assessment Conditions</w:t>
      </w:r>
    </w:p>
    <w:p w:rsidR="00000000" w:rsidRPr="00CD2D02" w:rsidP="00CD2D02">
      <w:pPr>
        <w:pStyle w:val="ListBullet"/>
      </w:pPr>
      <w:r w:rsidRPr="00CD2D02">
        <w:t>The unit should be assessed holistically and the judgement of competence shall be based on a holistic assessment of the evi</w:t>
      </w:r>
      <w:r w:rsidRPr="00CD2D02">
        <w:t xml:space="preserve">dence. </w:t>
      </w:r>
    </w:p>
    <w:p w:rsidR="00000000" w:rsidRPr="00CD2D02" w:rsidP="00CD2D02">
      <w:pPr>
        <w:pStyle w:val="ListBullet"/>
      </w:pPr>
      <w:r w:rsidRPr="00CD2D02">
        <w:t>The collection of performance evidence is best done from a report and/or folio of evidence drawn from:</w:t>
      </w:r>
    </w:p>
    <w:p w:rsidR="00000000" w:rsidRPr="00CD2D02" w:rsidP="00CD2D02">
      <w:pPr>
        <w:pStyle w:val="ListBullet2"/>
      </w:pPr>
      <w:r w:rsidRPr="00CD2D02">
        <w:t>a single project which provides sufficient evidence of the requirements of all the elements and performance criteria</w:t>
      </w:r>
    </w:p>
    <w:p w:rsidR="00000000" w:rsidRPr="00CD2D02" w:rsidP="00CD2D02">
      <w:pPr>
        <w:pStyle w:val="ListBullet2"/>
      </w:pPr>
      <w:r w:rsidRPr="00CD2D02">
        <w:t>multiple smaller projects w</w:t>
      </w:r>
      <w:r w:rsidRPr="00CD2D02">
        <w:t>hich together provide sufficient evidence of the requirements of all the elements and performance criteria.</w:t>
      </w:r>
    </w:p>
    <w:p w:rsidR="00000000" w:rsidRPr="00CD2D02" w:rsidP="00CD2D02">
      <w:pPr>
        <w:pStyle w:val="ListBullet"/>
      </w:pPr>
      <w:r w:rsidRPr="00CD2D02">
        <w:t xml:space="preserve">A third-party report, or similar, may be needed to testify to the work done by the individual, particularly when the project has been done as part </w:t>
      </w:r>
      <w:r w:rsidRPr="00CD2D02">
        <w:t>of a project team.</w:t>
      </w:r>
    </w:p>
    <w:p w:rsidR="00000000" w:rsidRPr="00CD2D02" w:rsidP="00CD2D02">
      <w:pPr>
        <w:pStyle w:val="ListBullet"/>
      </w:pPr>
      <w:r w:rsidRPr="00CD2D02">
        <w:t xml:space="preserve">Assessment should use a real process layout project for an operational workplace. </w:t>
      </w:r>
    </w:p>
    <w:p w:rsidR="00000000" w:rsidRPr="00CD2D02" w:rsidP="00CD2D02">
      <w:pPr>
        <w:pStyle w:val="ListBullet"/>
      </w:pPr>
      <w:r w:rsidRPr="00CD2D02">
        <w:t>Knowledge evidence may be collected concurrently with performance evidence or through an independent process such as workbooks, written assessments or int</w:t>
      </w:r>
      <w:r w:rsidRPr="00CD2D02">
        <w:t>erviews (provided a record is kept).</w:t>
      </w:r>
    </w:p>
    <w:p w:rsidR="00000000" w:rsidRPr="00CD2D02" w:rsidP="00CD2D02">
      <w:pPr>
        <w:pStyle w:val="ListBullet"/>
      </w:pPr>
      <w:r w:rsidRPr="00CD2D02">
        <w:t>Assessment processes and techniques must be appropriate to the language, literacy and numeracy requirements of the work being performed and the needs of the candidate.</w:t>
      </w:r>
    </w:p>
    <w:p w:rsidR="00000000" w:rsidRPr="00CD2D02" w:rsidP="00CD2D02">
      <w:pPr>
        <w:pStyle w:val="ListBullet"/>
      </w:pPr>
      <w:r w:rsidRPr="00CD2D02">
        <w:t>Conditions for assessment must include access to al</w:t>
      </w:r>
      <w:r w:rsidRPr="00CD2D02">
        <w:t>l tools, equipment, materials and documentation required, including relevant workplace procedures, product and manufacturing specifications associated with this unit.</w:t>
      </w:r>
    </w:p>
    <w:p w:rsidR="00000000" w:rsidRPr="00CD2D02" w:rsidP="00CD2D02">
      <w:pPr>
        <w:pStyle w:val="ListBullet"/>
      </w:pPr>
      <w:r w:rsidRPr="00CD2D02">
        <w:t>Foundation skills are integral to competent performance of the unit and should not be assessed separately.</w:t>
      </w:r>
    </w:p>
    <w:p w:rsidR="00000000" w:rsidRPr="00CD2D02" w:rsidP="00CD2D02">
      <w:pPr>
        <w:pStyle w:val="ListBullet"/>
      </w:pPr>
      <w:r w:rsidRPr="00CD2D02">
        <w:t xml:space="preserve">Assessors must satisfy the assessor competency requirements that are in place at the time of the assessment as set by the VET regulator.  </w:t>
      </w:r>
    </w:p>
    <w:p w:rsidR="00000000" w:rsidRPr="00CD2D02" w:rsidP="00CD2D02">
      <w:pPr>
        <w:pStyle w:val="ListBullet"/>
      </w:pPr>
      <w:r w:rsidRPr="00CD2D02">
        <w:t>The assess</w:t>
      </w:r>
      <w:r w:rsidRPr="00CD2D02">
        <w:t>or must demonstrate both technical competency and currency.</w:t>
      </w:r>
    </w:p>
    <w:p w:rsidR="00000000" w:rsidRPr="00CD2D02" w:rsidP="00CD2D02">
      <w:pPr>
        <w:pStyle w:val="ListBullet"/>
      </w:pPr>
      <w:r w:rsidRPr="00CD2D02">
        <w:t>Technical competence can be demonstrated through:</w:t>
      </w:r>
    </w:p>
    <w:p w:rsidR="00000000" w:rsidRPr="00CD2D02" w:rsidP="00CD2D02">
      <w:pPr>
        <w:pStyle w:val="ListBullet2"/>
      </w:pPr>
      <w:r w:rsidRPr="00CD2D02">
        <w:t>relevant VET or other qualification/Statement of Attainment AND/OR</w:t>
      </w:r>
    </w:p>
    <w:p w:rsidR="00000000" w:rsidRPr="00CD2D02" w:rsidP="00CD2D02">
      <w:pPr>
        <w:pStyle w:val="ListBullet2"/>
      </w:pPr>
      <w:r w:rsidRPr="00CD2D02">
        <w:t xml:space="preserve">relevant workplace experience </w:t>
      </w:r>
    </w:p>
    <w:p w:rsidR="00000000" w:rsidRPr="00CD2D02" w:rsidP="00CD2D02">
      <w:pPr>
        <w:pStyle w:val="ListBullet"/>
      </w:pPr>
      <w:r w:rsidRPr="00CD2D02">
        <w:t>Currency can be demonstrated through:</w:t>
      </w:r>
    </w:p>
    <w:p w:rsidR="00000000" w:rsidRPr="00CD2D02" w:rsidP="00CD2D02">
      <w:pPr>
        <w:pStyle w:val="ListBullet2"/>
      </w:pPr>
      <w:r w:rsidRPr="00CD2D02">
        <w:t>perform</w:t>
      </w:r>
      <w:r w:rsidRPr="00CD2D02">
        <w:t>ing the competency being assessed as part of current employment OR</w:t>
      </w:r>
    </w:p>
    <w:p w:rsidR="00000000" w:rsidRPr="00CD2D02" w:rsidP="00CD2D02">
      <w:pPr>
        <w:pStyle w:val="ListBullet2"/>
      </w:pPr>
      <w:r w:rsidRPr="00CD2D02">
        <w:t>having consulted with an organisation providing relevant environmental monitoring, management or technology services about performing the competency being assessed within the last twelve mo</w:t>
      </w:r>
      <w:r w:rsidRPr="00CD2D02">
        <w:t>nths.</w:t>
      </w:r>
    </w:p>
    <w:p w:rsidR="00000000" w:rsidRPr="00CD2D02" w:rsidP="00CD2D02">
      <w:pPr>
        <w:pStyle w:val="AllowPageBreak"/>
      </w:pPr>
    </w:p>
    <w:p w:rsidR="00000000" w:rsidRPr="00CD2D02" w:rsidP="00CD2D02">
      <w:pPr>
        <w:pStyle w:val="Heading1"/>
      </w:pPr>
      <w:bookmarkStart w:id="15" w:name="O_921228"/>
      <w:bookmarkEnd w:id="15"/>
      <w:r w:rsidRPr="00CD2D02">
        <w:t>Links</w:t>
      </w:r>
    </w:p>
    <w:p w:rsidR="00000000" w:rsidRPr="00CD2D02" w:rsidP="001559BF">
      <w:pPr>
        <w:pStyle w:val="BodyText"/>
      </w:pPr>
      <w:r w:rsidRPr="00CD2D02">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D75C35">
        <w:rPr>
          <w:rStyle w:val="Hyperlink"/>
        </w:rPr>
        <w:t>https://vetnet.gov.au/Pages/TrainingDocs.aspx?q=5b04f318-804f-4dc0-9463-c3fb9a3fe998</w:t>
      </w:r>
      <w:r>
        <w:fldChar w:fldCharType="end"/>
      </w:r>
    </w:p>
    <w:p w:rsidR="00000000" w:rsidRPr="00CD2D02" w:rsidP="00CD2D02"/>
    <w:sectPr w:rsidSect="00CD2D0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D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D02" w:rsidRPr="001559BF" w:rsidP="001559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D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9BF" w:rsidP="00CD2D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559BF" w:rsidP="00CD2D0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559BF" w:rsidP="00CD2D0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D02" w:rsidP="00CD2D02">
    <w:pPr>
      <w:pStyle w:val="Footer"/>
      <w:framePr w:wrap="around"/>
    </w:pPr>
    <w:r>
      <w:fldChar w:fldCharType="begin"/>
    </w:r>
    <w:r>
      <w:instrText xml:space="preserve"> DOCPROPERTY  Subject  \* MERGEFORMAT </w:instrText>
    </w:r>
    <w:r>
      <w:fldChar w:fldCharType="separate"/>
    </w:r>
    <w:r w:rsidR="001559BF">
      <w:t>Approved</w:t>
    </w:r>
    <w:r w:rsidR="001559BF">
      <w:fldChar w:fldCharType="end"/>
    </w:r>
    <w:r>
      <w:tab/>
      <w:t xml:space="preserve">Page </w:t>
    </w:r>
    <w:r>
      <w:fldChar w:fldCharType="begin"/>
    </w:r>
    <w:r>
      <w:instrText xml:space="preserve"> PAGE  \* Arabic  \* MERGEFORMAT </w:instrText>
    </w:r>
    <w:r>
      <w:fldChar w:fldCharType="separate"/>
    </w:r>
    <w:r w:rsidR="001559B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559BF">
      <w:rPr>
        <w:noProof/>
      </w:rPr>
      <w:t>6</w:t>
    </w:r>
    <w:r>
      <w:rPr>
        <w:noProof/>
      </w:rPr>
      <w:fldChar w:fldCharType="end"/>
    </w:r>
  </w:p>
  <w:p w:rsidR="00CD2D02" w:rsidP="00CD2D02">
    <w:pPr>
      <w:pStyle w:val="Footer"/>
      <w:framePr w:wrap="around"/>
    </w:pPr>
    <w:r>
      <w:t xml:space="preserve">© Commonwealth of Australia, </w:t>
    </w:r>
    <w:r>
      <w:fldChar w:fldCharType="begin"/>
    </w:r>
    <w:r>
      <w:instrText xml:space="preserve"> DATE  \@ "yyyy"  \* MERGEFORMAT </w:instrText>
    </w:r>
    <w:r>
      <w:fldChar w:fldCharType="separate"/>
    </w:r>
    <w:r w:rsidR="001559BF">
      <w:rPr>
        <w:noProof/>
      </w:rPr>
      <w:t>2025</w:t>
    </w:r>
    <w:r>
      <w:fldChar w:fldCharType="end"/>
    </w:r>
    <w:r>
      <w:tab/>
    </w:r>
    <w:r>
      <w:fldChar w:fldCharType="begin"/>
    </w:r>
    <w:r>
      <w:instrText xml:space="preserve"> DOCPROPERTY  Author  \* MERGEFORMAT </w:instrText>
    </w:r>
    <w:r>
      <w:fldChar w:fldCharType="separate"/>
    </w:r>
    <w:r w:rsidR="001559BF">
      <w:t>Manufacturing Industry Skills Alliance</w:t>
    </w:r>
    <w:r w:rsidR="001559BF">
      <w:fldChar w:fldCharType="end"/>
    </w:r>
  </w:p>
  <w:p w:rsidR="00CD2D02" w:rsidP="00CD2D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D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9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2D02" w:rsidRPr="001559BF" w:rsidP="001559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D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9BF" w:rsidRPr="002D2AF8" w:rsidP="00CD2D02">
    <w:pPr>
      <w:pStyle w:val="Header"/>
      <w:framePr w:wrap="around"/>
    </w:pPr>
    <w:r>
      <w:fldChar w:fldCharType="begin"/>
    </w:r>
    <w:r>
      <w:instrText xml:space="preserve"> TITLE   \* MERGEFORMAT </w:instrText>
    </w:r>
    <w:r>
      <w:fldChar w:fldCharType="separate"/>
    </w:r>
    <w:r>
      <w:t>MSS405022 Design a process layout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559BF" w:rsidP="00CD2D0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D02" w:rsidRPr="002D2AF8" w:rsidP="00CD2D02">
    <w:pPr>
      <w:pStyle w:val="Header"/>
      <w:framePr w:wrap="around"/>
    </w:pPr>
    <w:r>
      <w:fldChar w:fldCharType="begin"/>
    </w:r>
    <w:r>
      <w:instrText xml:space="preserve"> TITLE   \* MERGEFORMAT </w:instrText>
    </w:r>
    <w:r>
      <w:fldChar w:fldCharType="separate"/>
    </w:r>
    <w:r w:rsidR="001559BF">
      <w:t>MSS405022 Design a process layout</w:t>
    </w:r>
    <w:r w:rsidR="001559BF">
      <w:fldChar w:fldCharType="end"/>
    </w:r>
    <w:r>
      <w:tab/>
      <w:t xml:space="preserve">Date this document was generated: </w:t>
    </w:r>
    <w:r>
      <w:fldChar w:fldCharType="begin"/>
    </w:r>
    <w:r>
      <w:instrText xml:space="preserve"> CREATEDATE  \@ "d MMMM yyyy"  \* MERGEFORMAT </w:instrText>
    </w:r>
    <w:r>
      <w:fldChar w:fldCharType="separate"/>
    </w:r>
    <w:r w:rsidR="001559BF">
      <w:rPr>
        <w:noProof/>
      </w:rPr>
      <w:t>2 March 2025</w:t>
    </w:r>
    <w:r>
      <w:fldChar w:fldCharType="end"/>
    </w:r>
  </w:p>
  <w:p w:rsidR="00CD2D02" w:rsidP="00CD2D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4ACD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123A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FC99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2D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2D02"/>
    <w:pPr>
      <w:spacing w:before="360" w:after="60"/>
      <w:outlineLvl w:val="0"/>
    </w:pPr>
    <w:rPr>
      <w:sz w:val="32"/>
    </w:rPr>
  </w:style>
  <w:style w:type="paragraph" w:styleId="Heading2">
    <w:name w:val="heading 2"/>
    <w:basedOn w:val="HeadingBase"/>
    <w:next w:val="BodyText"/>
    <w:link w:val="Heading2Char"/>
    <w:qFormat/>
    <w:rsid w:val="00CD2D02"/>
    <w:pPr>
      <w:keepLines/>
      <w:spacing w:before="240" w:after="120"/>
      <w:outlineLvl w:val="1"/>
    </w:pPr>
    <w:rPr>
      <w:sz w:val="28"/>
      <w:szCs w:val="40"/>
    </w:rPr>
  </w:style>
  <w:style w:type="paragraph" w:styleId="Heading3">
    <w:name w:val="heading 3"/>
    <w:basedOn w:val="HeadingBase"/>
    <w:next w:val="BodyText"/>
    <w:link w:val="Heading3Char"/>
    <w:qFormat/>
    <w:rsid w:val="00CD2D02"/>
    <w:pPr>
      <w:spacing w:before="180" w:after="120"/>
      <w:outlineLvl w:val="2"/>
    </w:pPr>
    <w:rPr>
      <w:spacing w:val="-10"/>
      <w:kern w:val="32"/>
    </w:rPr>
  </w:style>
  <w:style w:type="paragraph" w:styleId="Heading4">
    <w:name w:val="heading 4"/>
    <w:basedOn w:val="HeadingBase"/>
    <w:next w:val="BodyText"/>
    <w:link w:val="Heading4Char"/>
    <w:qFormat/>
    <w:rsid w:val="00CD2D02"/>
    <w:pPr>
      <w:spacing w:before="160" w:after="120"/>
      <w:outlineLvl w:val="3"/>
    </w:pPr>
    <w:rPr>
      <w:sz w:val="22"/>
    </w:rPr>
  </w:style>
  <w:style w:type="paragraph" w:styleId="Heading5">
    <w:name w:val="heading 5"/>
    <w:basedOn w:val="HeadingBase"/>
    <w:next w:val="Normal"/>
    <w:link w:val="Heading5Char"/>
    <w:qFormat/>
    <w:rsid w:val="00CD2D02"/>
    <w:pPr>
      <w:spacing w:before="80"/>
      <w:outlineLvl w:val="4"/>
    </w:pPr>
    <w:rPr>
      <w:color w:val="918585"/>
      <w:sz w:val="20"/>
    </w:rPr>
  </w:style>
  <w:style w:type="paragraph" w:styleId="Heading6">
    <w:name w:val="heading 6"/>
    <w:basedOn w:val="HeadingBase"/>
    <w:next w:val="Normal"/>
    <w:link w:val="Heading6Char"/>
    <w:qFormat/>
    <w:rsid w:val="00CD2D02"/>
    <w:pPr>
      <w:spacing w:before="60"/>
      <w:outlineLvl w:val="5"/>
    </w:pPr>
    <w:rPr>
      <w:color w:val="918585"/>
      <w:sz w:val="20"/>
    </w:rPr>
  </w:style>
  <w:style w:type="paragraph" w:styleId="Heading7">
    <w:name w:val="heading 7"/>
    <w:basedOn w:val="Normal"/>
    <w:next w:val="Normal"/>
    <w:link w:val="Heading7Char"/>
    <w:qFormat/>
    <w:rsid w:val="00CD2D02"/>
    <w:pPr>
      <w:ind w:left="720"/>
      <w:outlineLvl w:val="6"/>
    </w:pPr>
    <w:rPr>
      <w:i/>
    </w:rPr>
  </w:style>
  <w:style w:type="paragraph" w:styleId="Heading8">
    <w:name w:val="heading 8"/>
    <w:basedOn w:val="Normal"/>
    <w:next w:val="Normal"/>
    <w:link w:val="Heading8Char"/>
    <w:qFormat/>
    <w:rsid w:val="00CD2D02"/>
    <w:pPr>
      <w:ind w:left="720"/>
      <w:outlineLvl w:val="7"/>
    </w:pPr>
    <w:rPr>
      <w:i/>
    </w:rPr>
  </w:style>
  <w:style w:type="paragraph" w:styleId="Heading9">
    <w:name w:val="heading 9"/>
    <w:basedOn w:val="Normal"/>
    <w:next w:val="Normal"/>
    <w:link w:val="Heading9Char"/>
    <w:qFormat/>
    <w:rsid w:val="00CD2D02"/>
    <w:pPr>
      <w:ind w:left="720"/>
      <w:outlineLvl w:val="8"/>
    </w:pPr>
    <w:rPr>
      <w:i/>
    </w:rPr>
  </w:style>
  <w:style w:type="character" w:default="1" w:styleId="DefaultParagraphFont">
    <w:name w:val="Default Paragraph Font"/>
    <w:uiPriority w:val="1"/>
    <w:unhideWhenUsed/>
    <w:rsid w:val="00CD2D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2D02"/>
  </w:style>
  <w:style w:type="character" w:customStyle="1" w:styleId="Heading1Char">
    <w:name w:val="Heading 1 Char"/>
    <w:basedOn w:val="DefaultParagraphFont"/>
    <w:link w:val="Heading1"/>
    <w:rsid w:val="00CD2D02"/>
    <w:rPr>
      <w:rFonts w:ascii="Times New Roman" w:eastAsia="Times New Roman" w:hAnsi="Times New Roman" w:cs="Times New Roman"/>
      <w:b/>
      <w:sz w:val="32"/>
      <w:szCs w:val="20"/>
      <w:lang w:eastAsia="en-US"/>
    </w:rPr>
  </w:style>
  <w:style w:type="paragraph" w:styleId="BodyText">
    <w:name w:val="Body Text"/>
    <w:basedOn w:val="Normal"/>
    <w:link w:val="BodyTextChar"/>
    <w:rsid w:val="00CD2D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2D02"/>
    <w:rPr>
      <w:rFonts w:ascii="Times New Roman" w:eastAsia="Times New Roman" w:hAnsi="Times New Roman" w:cs="Times New Roman"/>
      <w:sz w:val="24"/>
      <w:lang w:eastAsia="en-US"/>
    </w:rPr>
  </w:style>
  <w:style w:type="paragraph" w:styleId="ListBullet">
    <w:name w:val="List Bullet"/>
    <w:basedOn w:val="List"/>
    <w:rsid w:val="00CD2D02"/>
    <w:pPr>
      <w:numPr>
        <w:numId w:val="12"/>
      </w:numPr>
      <w:tabs>
        <w:tab w:val="clear" w:pos="340"/>
      </w:tabs>
      <w:spacing w:before="40" w:after="40"/>
    </w:pPr>
  </w:style>
  <w:style w:type="character" w:customStyle="1" w:styleId="SpecialBold">
    <w:name w:val="Special Bold"/>
    <w:basedOn w:val="DefaultParagraphFont"/>
    <w:rsid w:val="00CD2D02"/>
    <w:rPr>
      <w:b/>
      <w:spacing w:val="0"/>
    </w:rPr>
  </w:style>
  <w:style w:type="paragraph" w:styleId="ListBullet2">
    <w:name w:val="List Bullet 2"/>
    <w:basedOn w:val="List2"/>
    <w:rsid w:val="00CD2D02"/>
    <w:pPr>
      <w:numPr>
        <w:numId w:val="13"/>
      </w:numPr>
      <w:tabs>
        <w:tab w:val="clear" w:pos="680"/>
      </w:tabs>
    </w:pPr>
  </w:style>
  <w:style w:type="paragraph" w:customStyle="1" w:styleId="SuperHeading">
    <w:name w:val="SuperHeading"/>
    <w:basedOn w:val="Normal"/>
    <w:rsid w:val="00CD2D02"/>
    <w:pPr>
      <w:spacing w:before="240" w:after="120"/>
      <w:outlineLvl w:val="0"/>
    </w:pPr>
    <w:rPr>
      <w:rFonts w:ascii="Times New Roman" w:hAnsi="Times New Roman"/>
      <w:b/>
      <w:sz w:val="32"/>
    </w:rPr>
  </w:style>
  <w:style w:type="paragraph" w:customStyle="1" w:styleId="AllowPageBreak">
    <w:name w:val="AllowPageBreak"/>
    <w:rsid w:val="00CD2D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2D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2D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2D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2D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2D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2D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2D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2D02"/>
    <w:rPr>
      <w:rFonts w:ascii="Courier New" w:eastAsia="Times New Roman" w:hAnsi="Courier New" w:cs="Times New Roman"/>
      <w:i/>
      <w:szCs w:val="20"/>
      <w:lang w:eastAsia="en-US"/>
    </w:rPr>
  </w:style>
  <w:style w:type="paragraph" w:customStyle="1" w:styleId="HeadingBase">
    <w:name w:val="Heading Base"/>
    <w:rsid w:val="00CD2D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2D02"/>
    <w:pPr>
      <w:tabs>
        <w:tab w:val="right" w:leader="dot" w:pos="9072"/>
      </w:tabs>
      <w:ind w:left="567"/>
    </w:pPr>
    <w:rPr>
      <w:szCs w:val="22"/>
    </w:rPr>
  </w:style>
  <w:style w:type="paragraph" w:customStyle="1" w:styleId="TOCBase">
    <w:name w:val="TOC Base"/>
    <w:rsid w:val="00CD2D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2D02"/>
    <w:pPr>
      <w:tabs>
        <w:tab w:val="right" w:leader="dot" w:pos="9072"/>
      </w:tabs>
      <w:spacing w:before="40" w:after="40"/>
      <w:ind w:left="284"/>
    </w:pPr>
    <w:rPr>
      <w:rFonts w:ascii="Times New Roman" w:hAnsi="Times New Roman"/>
    </w:rPr>
  </w:style>
  <w:style w:type="paragraph" w:styleId="TOC1">
    <w:name w:val="toc 1"/>
    <w:basedOn w:val="TOCBase"/>
    <w:next w:val="Normal"/>
    <w:rsid w:val="00CD2D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2D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2D02"/>
    <w:rPr>
      <w:rFonts w:ascii="Times New Roman" w:eastAsia="Times New Roman" w:hAnsi="Times New Roman" w:cs="Times New Roman"/>
      <w:sz w:val="16"/>
      <w:lang w:eastAsia="en-US"/>
    </w:rPr>
  </w:style>
  <w:style w:type="paragraph" w:styleId="Title">
    <w:name w:val="Title"/>
    <w:basedOn w:val="HeadingBase"/>
    <w:link w:val="TitleChar"/>
    <w:qFormat/>
    <w:rsid w:val="00CD2D02"/>
    <w:pPr>
      <w:spacing w:before="5040"/>
      <w:jc w:val="center"/>
    </w:pPr>
    <w:rPr>
      <w:sz w:val="48"/>
      <w:szCs w:val="72"/>
      <w:lang w:val="en-US"/>
    </w:rPr>
  </w:style>
  <w:style w:type="character" w:customStyle="1" w:styleId="TitleChar">
    <w:name w:val="Title Char"/>
    <w:basedOn w:val="DefaultParagraphFont"/>
    <w:link w:val="Title"/>
    <w:rsid w:val="00CD2D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2D02"/>
    <w:pPr>
      <w:tabs>
        <w:tab w:val="left" w:pos="3600"/>
        <w:tab w:val="left" w:pos="3958"/>
      </w:tabs>
    </w:pPr>
  </w:style>
  <w:style w:type="paragraph" w:styleId="List">
    <w:name w:val="List"/>
    <w:basedOn w:val="BodyText"/>
    <w:next w:val="BodyText"/>
    <w:rsid w:val="00CD2D02"/>
    <w:pPr>
      <w:tabs>
        <w:tab w:val="left" w:pos="340"/>
      </w:tabs>
      <w:spacing w:before="60" w:after="60"/>
      <w:ind w:left="340" w:hanging="340"/>
    </w:pPr>
  </w:style>
  <w:style w:type="paragraph" w:customStyle="1" w:styleId="Note">
    <w:name w:val="Note"/>
    <w:basedOn w:val="BodyText"/>
    <w:rsid w:val="00CD2D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2D02"/>
    <w:pPr>
      <w:framePr w:wrap="auto" w:hAnchor="text" w:y="6049"/>
    </w:pPr>
    <w:rPr>
      <w:color w:val="000000"/>
      <w:sz w:val="40"/>
    </w:rPr>
  </w:style>
  <w:style w:type="paragraph" w:customStyle="1" w:styleId="TOCTitle">
    <w:name w:val="TOCTitle"/>
    <w:basedOn w:val="Heading1"/>
    <w:rsid w:val="00CD2D02"/>
    <w:pPr>
      <w:spacing w:after="240"/>
      <w:jc w:val="center"/>
      <w:outlineLvl w:val="9"/>
    </w:pPr>
    <w:rPr>
      <w:caps/>
    </w:rPr>
  </w:style>
  <w:style w:type="paragraph" w:customStyle="1" w:styleId="Version">
    <w:name w:val="Version"/>
    <w:rsid w:val="00CD2D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2D02"/>
    <w:pPr>
      <w:keepNext w:val="0"/>
      <w:tabs>
        <w:tab w:val="right" w:pos="4176"/>
      </w:tabs>
      <w:ind w:left="198" w:hanging="198"/>
    </w:pPr>
    <w:rPr>
      <w:rFonts w:ascii="Garamond" w:hAnsi="Garamond"/>
    </w:rPr>
  </w:style>
  <w:style w:type="paragraph" w:styleId="IndexHeading">
    <w:name w:val="index heading"/>
    <w:basedOn w:val="Normal"/>
    <w:next w:val="Index1"/>
    <w:semiHidden/>
    <w:rsid w:val="00CD2D02"/>
    <w:pPr>
      <w:spacing w:before="120" w:after="120"/>
    </w:pPr>
    <w:rPr>
      <w:rFonts w:ascii="Arial" w:hAnsi="Arial"/>
      <w:b/>
      <w:color w:val="918585"/>
      <w:sz w:val="24"/>
    </w:rPr>
  </w:style>
  <w:style w:type="paragraph" w:styleId="Header">
    <w:name w:val="header"/>
    <w:basedOn w:val="Normal"/>
    <w:link w:val="HeaderChar"/>
    <w:rsid w:val="00CD2D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2D02"/>
    <w:rPr>
      <w:rFonts w:ascii="Times New Roman" w:eastAsia="Times New Roman" w:hAnsi="Times New Roman" w:cs="Times New Roman"/>
      <w:sz w:val="16"/>
      <w:szCs w:val="20"/>
      <w:lang w:val="en-GB" w:eastAsia="en-US"/>
    </w:rPr>
  </w:style>
  <w:style w:type="paragraph" w:customStyle="1" w:styleId="Chapter">
    <w:name w:val="Chapter"/>
    <w:basedOn w:val="Normal"/>
    <w:rsid w:val="00CD2D02"/>
    <w:pPr>
      <w:spacing w:before="240"/>
    </w:pPr>
    <w:rPr>
      <w:rFonts w:ascii="Times New Roman" w:hAnsi="Times New Roman"/>
      <w:smallCaps/>
      <w:spacing w:val="80"/>
      <w:sz w:val="28"/>
    </w:rPr>
  </w:style>
  <w:style w:type="paragraph" w:customStyle="1" w:styleId="InChapter">
    <w:name w:val="InChapter"/>
    <w:basedOn w:val="Heading3"/>
    <w:rsid w:val="00CD2D02"/>
    <w:pPr>
      <w:spacing w:after="240"/>
      <w:outlineLvl w:val="9"/>
    </w:pPr>
    <w:rPr>
      <w:noProof/>
    </w:rPr>
  </w:style>
  <w:style w:type="paragraph" w:styleId="Index2">
    <w:name w:val="index 2"/>
    <w:basedOn w:val="Normal"/>
    <w:next w:val="Normal"/>
    <w:semiHidden/>
    <w:rsid w:val="00CD2D02"/>
    <w:pPr>
      <w:tabs>
        <w:tab w:val="right" w:pos="4176"/>
      </w:tabs>
      <w:ind w:left="568" w:hanging="284"/>
    </w:pPr>
    <w:rPr>
      <w:rFonts w:ascii="Garamond" w:hAnsi="Garamond"/>
    </w:rPr>
  </w:style>
  <w:style w:type="paragraph" w:customStyle="1" w:styleId="Byline">
    <w:name w:val="Byline"/>
    <w:rsid w:val="00CD2D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2D02"/>
    <w:pPr>
      <w:tabs>
        <w:tab w:val="clear" w:pos="3600"/>
        <w:tab w:val="clear" w:pos="3958"/>
      </w:tabs>
      <w:jc w:val="right"/>
    </w:pPr>
  </w:style>
  <w:style w:type="character" w:styleId="Emphasis">
    <w:name w:val="Emphasis"/>
    <w:basedOn w:val="DefaultParagraphFont"/>
    <w:qFormat/>
    <w:rsid w:val="00CD2D02"/>
    <w:rPr>
      <w:i/>
    </w:rPr>
  </w:style>
  <w:style w:type="paragraph" w:styleId="Caption">
    <w:name w:val="caption"/>
    <w:basedOn w:val="BodyText"/>
    <w:next w:val="Normal"/>
    <w:qFormat/>
    <w:rsid w:val="00CD2D02"/>
    <w:pPr>
      <w:framePr w:w="2268" w:hSpace="181" w:vSpace="181" w:wrap="around" w:vAnchor="text" w:hAnchor="page" w:x="1135" w:y="285" w:anchorLock="1"/>
    </w:pPr>
    <w:rPr>
      <w:i/>
    </w:rPr>
  </w:style>
  <w:style w:type="paragraph" w:customStyle="1" w:styleId="MiniTOCTitle">
    <w:name w:val="MiniTOCTitle"/>
    <w:basedOn w:val="Heading4"/>
    <w:rsid w:val="00CD2D02"/>
    <w:pPr>
      <w:spacing w:before="240"/>
      <w:outlineLvl w:val="9"/>
    </w:pPr>
    <w:rPr>
      <w:noProof/>
      <w:sz w:val="24"/>
    </w:rPr>
  </w:style>
  <w:style w:type="paragraph" w:customStyle="1" w:styleId="MiniTOCItem">
    <w:name w:val="MiniTOCItem"/>
    <w:basedOn w:val="ListBullet"/>
    <w:rsid w:val="00CD2D02"/>
    <w:pPr>
      <w:numPr>
        <w:numId w:val="0"/>
      </w:numPr>
      <w:tabs>
        <w:tab w:val="right" w:leader="dot" w:pos="6521"/>
      </w:tabs>
      <w:spacing w:before="0" w:after="0"/>
    </w:pPr>
  </w:style>
  <w:style w:type="paragraph" w:customStyle="1" w:styleId="TOFTitle">
    <w:name w:val="TOFTitle"/>
    <w:basedOn w:val="TOCTitle"/>
    <w:rsid w:val="00CD2D02"/>
  </w:style>
  <w:style w:type="paragraph" w:styleId="TableofFigures">
    <w:name w:val="table of figures"/>
    <w:basedOn w:val="Normal"/>
    <w:next w:val="Normal"/>
    <w:semiHidden/>
    <w:rsid w:val="00CD2D02"/>
    <w:pPr>
      <w:tabs>
        <w:tab w:val="right" w:leader="dot" w:pos="9072"/>
      </w:tabs>
      <w:ind w:left="970" w:hanging="403"/>
    </w:pPr>
    <w:rPr>
      <w:rFonts w:ascii="Times New Roman" w:hAnsi="Times New Roman"/>
      <w:b/>
    </w:rPr>
  </w:style>
  <w:style w:type="paragraph" w:styleId="ListNumber">
    <w:name w:val="List Number"/>
    <w:basedOn w:val="List"/>
    <w:rsid w:val="00CD2D02"/>
    <w:pPr>
      <w:numPr>
        <w:numId w:val="15"/>
      </w:numPr>
      <w:tabs>
        <w:tab w:val="clear" w:pos="340"/>
      </w:tabs>
    </w:pPr>
  </w:style>
  <w:style w:type="character" w:customStyle="1" w:styleId="WingdingSymbols">
    <w:name w:val="Wingding Symbols"/>
    <w:rsid w:val="00CD2D02"/>
    <w:rPr>
      <w:rFonts w:ascii="Wingdings" w:hAnsi="Wingdings"/>
    </w:rPr>
  </w:style>
  <w:style w:type="paragraph" w:customStyle="1" w:styleId="TableHeading">
    <w:name w:val="Table Heading"/>
    <w:basedOn w:val="HeadingBase"/>
    <w:rsid w:val="00CD2D02"/>
    <w:pPr>
      <w:keepLines/>
      <w:pBdr>
        <w:bottom w:val="single" w:sz="6" w:space="1" w:color="918585"/>
      </w:pBdr>
      <w:spacing w:before="240"/>
    </w:pPr>
  </w:style>
  <w:style w:type="character" w:customStyle="1" w:styleId="HotSpot">
    <w:name w:val="HotSpot"/>
    <w:rsid w:val="00CD2D02"/>
    <w:rPr>
      <w:color w:val="0033CC"/>
      <w:u w:val="none"/>
    </w:rPr>
  </w:style>
  <w:style w:type="paragraph" w:customStyle="1" w:styleId="BodyTextRight">
    <w:name w:val="Body Text Right"/>
    <w:basedOn w:val="BodyText"/>
    <w:rsid w:val="00CD2D02"/>
    <w:pPr>
      <w:spacing w:before="0" w:after="0"/>
      <w:jc w:val="right"/>
    </w:pPr>
  </w:style>
  <w:style w:type="paragraph" w:styleId="Index3">
    <w:name w:val="index 3"/>
    <w:basedOn w:val="ListNumber2"/>
    <w:next w:val="Normal"/>
    <w:semiHidden/>
    <w:rsid w:val="00CD2D02"/>
    <w:pPr>
      <w:numPr>
        <w:numId w:val="0"/>
      </w:numPr>
      <w:tabs>
        <w:tab w:val="right" w:leader="dot" w:pos="4176"/>
      </w:tabs>
    </w:pPr>
  </w:style>
  <w:style w:type="paragraph" w:styleId="ListNumber2">
    <w:name w:val="List Number 2"/>
    <w:basedOn w:val="List2"/>
    <w:rsid w:val="00CD2D02"/>
    <w:pPr>
      <w:numPr>
        <w:numId w:val="10"/>
      </w:numPr>
      <w:tabs>
        <w:tab w:val="clear" w:pos="1060"/>
      </w:tabs>
    </w:pPr>
  </w:style>
  <w:style w:type="paragraph" w:customStyle="1" w:styleId="MarginNote">
    <w:name w:val="Margin Note"/>
    <w:basedOn w:val="BodyText"/>
    <w:rsid w:val="00CD2D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2D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2D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2D02"/>
    <w:rPr>
      <w:sz w:val="32"/>
    </w:rPr>
  </w:style>
  <w:style w:type="paragraph" w:customStyle="1" w:styleId="HeadingProcedure">
    <w:name w:val="Heading Procedure"/>
    <w:basedOn w:val="HeadingBase"/>
    <w:next w:val="Normal"/>
    <w:rsid w:val="00CD2D02"/>
    <w:pPr>
      <w:tabs>
        <w:tab w:val="left" w:pos="0"/>
      </w:tabs>
      <w:spacing w:before="120" w:after="60"/>
    </w:pPr>
    <w:rPr>
      <w:i/>
      <w:color w:val="918585"/>
      <w:sz w:val="22"/>
    </w:rPr>
  </w:style>
  <w:style w:type="paragraph" w:customStyle="1" w:styleId="TableBodyText">
    <w:name w:val="Table Body Text"/>
    <w:basedOn w:val="BodyText"/>
    <w:rsid w:val="00CD2D02"/>
    <w:pPr>
      <w:spacing w:before="60" w:after="60"/>
    </w:pPr>
  </w:style>
  <w:style w:type="paragraph" w:styleId="ListContinue">
    <w:name w:val="List Continue"/>
    <w:basedOn w:val="List"/>
    <w:rsid w:val="00CD2D02"/>
    <w:pPr>
      <w:ind w:firstLine="0"/>
    </w:pPr>
  </w:style>
  <w:style w:type="paragraph" w:customStyle="1" w:styleId="ListNote">
    <w:name w:val="List Note"/>
    <w:basedOn w:val="List"/>
    <w:rsid w:val="00CD2D02"/>
    <w:pPr>
      <w:pBdr>
        <w:top w:val="single" w:sz="6" w:space="2" w:color="918585"/>
        <w:bottom w:val="single" w:sz="6" w:space="2" w:color="918585"/>
      </w:pBdr>
      <w:tabs>
        <w:tab w:val="left" w:pos="1021"/>
      </w:tabs>
      <w:ind w:firstLine="0"/>
    </w:pPr>
  </w:style>
  <w:style w:type="paragraph" w:customStyle="1" w:styleId="Warning">
    <w:name w:val="Warning"/>
    <w:basedOn w:val="BodyText"/>
    <w:rsid w:val="00CD2D02"/>
    <w:pPr>
      <w:shd w:val="clear" w:color="auto" w:fill="D9D9D9"/>
      <w:tabs>
        <w:tab w:val="left" w:pos="992"/>
      </w:tabs>
      <w:ind w:left="119" w:right="119"/>
    </w:pPr>
    <w:rPr>
      <w:sz w:val="20"/>
    </w:rPr>
  </w:style>
  <w:style w:type="paragraph" w:customStyle="1" w:styleId="MarginIcons">
    <w:name w:val="Margin Icons"/>
    <w:basedOn w:val="BodyText"/>
    <w:rsid w:val="00CD2D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2D02"/>
    <w:rPr>
      <w:rFonts w:ascii="Courier New" w:hAnsi="Courier New"/>
    </w:rPr>
  </w:style>
  <w:style w:type="paragraph" w:customStyle="1" w:styleId="NoteBullet">
    <w:name w:val="Note Bullet"/>
    <w:basedOn w:val="Note"/>
    <w:rsid w:val="00CD2D02"/>
    <w:pPr>
      <w:tabs>
        <w:tab w:val="clear" w:pos="680"/>
      </w:tabs>
      <w:spacing w:before="60" w:after="60"/>
    </w:pPr>
  </w:style>
  <w:style w:type="paragraph" w:customStyle="1" w:styleId="SubHeading2">
    <w:name w:val="SubHeading2"/>
    <w:basedOn w:val="HeadingBase"/>
    <w:rsid w:val="00CD2D02"/>
    <w:pPr>
      <w:spacing w:before="240" w:after="60"/>
    </w:pPr>
    <w:rPr>
      <w:sz w:val="20"/>
    </w:rPr>
  </w:style>
  <w:style w:type="paragraph" w:customStyle="1" w:styleId="SubHeading1">
    <w:name w:val="SubHeading1"/>
    <w:basedOn w:val="HeadingBase"/>
    <w:rsid w:val="00CD2D02"/>
    <w:pPr>
      <w:spacing w:before="240" w:after="60"/>
    </w:pPr>
    <w:rPr>
      <w:color w:val="918585"/>
      <w:sz w:val="22"/>
    </w:rPr>
  </w:style>
  <w:style w:type="paragraph" w:customStyle="1" w:styleId="SideHeading">
    <w:name w:val="Side Heading"/>
    <w:basedOn w:val="HeadingBase"/>
    <w:rsid w:val="00CD2D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2D02"/>
    <w:pPr>
      <w:tabs>
        <w:tab w:val="num" w:pos="360"/>
      </w:tabs>
    </w:pPr>
  </w:style>
  <w:style w:type="paragraph" w:styleId="PlainText">
    <w:name w:val="Plain Text"/>
    <w:basedOn w:val="Normal"/>
    <w:link w:val="PlainTextChar"/>
    <w:rsid w:val="00CD2D02"/>
    <w:rPr>
      <w:sz w:val="20"/>
    </w:rPr>
  </w:style>
  <w:style w:type="character" w:customStyle="1" w:styleId="PlainTextChar">
    <w:name w:val="Plain Text Char"/>
    <w:basedOn w:val="DefaultParagraphFont"/>
    <w:link w:val="PlainText"/>
    <w:rsid w:val="00CD2D02"/>
    <w:rPr>
      <w:rFonts w:ascii="Courier New" w:eastAsia="Times New Roman" w:hAnsi="Courier New" w:cs="Times New Roman"/>
      <w:sz w:val="20"/>
      <w:szCs w:val="20"/>
      <w:lang w:eastAsia="en-US"/>
    </w:rPr>
  </w:style>
  <w:style w:type="character" w:customStyle="1" w:styleId="MenuOption">
    <w:name w:val="Menu Option"/>
    <w:basedOn w:val="DefaultParagraphFont"/>
    <w:rsid w:val="00CD2D02"/>
    <w:rPr>
      <w:b/>
      <w:smallCaps/>
    </w:rPr>
  </w:style>
  <w:style w:type="paragraph" w:customStyle="1" w:styleId="TableListNumber">
    <w:name w:val="Table List Number"/>
    <w:basedOn w:val="ListNumber"/>
    <w:rsid w:val="00CD2D02"/>
    <w:pPr>
      <w:numPr>
        <w:numId w:val="0"/>
      </w:numPr>
    </w:pPr>
  </w:style>
  <w:style w:type="paragraph" w:styleId="TOC4">
    <w:name w:val="toc 4"/>
    <w:basedOn w:val="TOCBase"/>
    <w:next w:val="Normal"/>
    <w:semiHidden/>
    <w:rsid w:val="00CD2D02"/>
    <w:pPr>
      <w:tabs>
        <w:tab w:val="right" w:leader="dot" w:pos="9071"/>
      </w:tabs>
      <w:ind w:left="1701"/>
    </w:pPr>
  </w:style>
  <w:style w:type="paragraph" w:customStyle="1" w:styleId="ListAlpha">
    <w:name w:val="List Alpha"/>
    <w:basedOn w:val="List"/>
    <w:rsid w:val="00CD2D02"/>
    <w:pPr>
      <w:numPr>
        <w:numId w:val="9"/>
      </w:numPr>
    </w:pPr>
  </w:style>
  <w:style w:type="paragraph" w:customStyle="1" w:styleId="ListAlpha2">
    <w:name w:val="List Alpha 2"/>
    <w:basedOn w:val="List2"/>
    <w:rsid w:val="00CD2D02"/>
    <w:pPr>
      <w:numPr>
        <w:numId w:val="8"/>
      </w:numPr>
    </w:pPr>
  </w:style>
  <w:style w:type="paragraph" w:styleId="List2">
    <w:name w:val="List 2"/>
    <w:basedOn w:val="BodyText"/>
    <w:rsid w:val="00CD2D02"/>
    <w:pPr>
      <w:tabs>
        <w:tab w:val="left" w:pos="680"/>
      </w:tabs>
      <w:spacing w:before="60" w:after="60"/>
      <w:ind w:left="680" w:hanging="340"/>
    </w:pPr>
  </w:style>
  <w:style w:type="paragraph" w:styleId="List3">
    <w:name w:val="List 3"/>
    <w:basedOn w:val="BodyText"/>
    <w:rsid w:val="00CD2D02"/>
    <w:pPr>
      <w:tabs>
        <w:tab w:val="left" w:pos="1021"/>
      </w:tabs>
      <w:spacing w:before="60" w:after="60"/>
      <w:ind w:left="1020" w:hanging="340"/>
    </w:pPr>
  </w:style>
  <w:style w:type="paragraph" w:styleId="List4">
    <w:name w:val="List 4"/>
    <w:basedOn w:val="BodyText"/>
    <w:rsid w:val="00CD2D02"/>
    <w:pPr>
      <w:tabs>
        <w:tab w:val="left" w:pos="1361"/>
      </w:tabs>
      <w:spacing w:before="60" w:after="60"/>
      <w:ind w:left="1361" w:hanging="340"/>
    </w:pPr>
  </w:style>
  <w:style w:type="paragraph" w:styleId="List5">
    <w:name w:val="List 5"/>
    <w:basedOn w:val="BodyText"/>
    <w:rsid w:val="00CD2D02"/>
    <w:pPr>
      <w:tabs>
        <w:tab w:val="left" w:pos="1701"/>
      </w:tabs>
      <w:spacing w:before="60" w:after="60"/>
      <w:ind w:left="1701" w:hanging="340"/>
    </w:pPr>
  </w:style>
  <w:style w:type="paragraph" w:styleId="ListBullet3">
    <w:name w:val="List Bullet 3"/>
    <w:basedOn w:val="List3"/>
    <w:rsid w:val="00CD2D02"/>
    <w:pPr>
      <w:numPr>
        <w:numId w:val="14"/>
      </w:numPr>
      <w:tabs>
        <w:tab w:val="clear" w:pos="1021"/>
      </w:tabs>
      <w:ind w:left="1037" w:hanging="357"/>
    </w:pPr>
  </w:style>
  <w:style w:type="paragraph" w:styleId="ListBullet4">
    <w:name w:val="List Bullet 4"/>
    <w:basedOn w:val="List4"/>
    <w:rsid w:val="00CD2D02"/>
    <w:pPr>
      <w:numPr>
        <w:numId w:val="3"/>
      </w:numPr>
      <w:tabs>
        <w:tab w:val="clear" w:pos="1361"/>
      </w:tabs>
    </w:pPr>
  </w:style>
  <w:style w:type="paragraph" w:styleId="ListBullet5">
    <w:name w:val="List Bullet 5"/>
    <w:basedOn w:val="List5"/>
    <w:rsid w:val="00CD2D02"/>
    <w:pPr>
      <w:numPr>
        <w:numId w:val="4"/>
      </w:numPr>
    </w:pPr>
  </w:style>
  <w:style w:type="paragraph" w:styleId="ListContinue2">
    <w:name w:val="List Continue 2"/>
    <w:basedOn w:val="List2"/>
    <w:rsid w:val="00CD2D02"/>
    <w:pPr>
      <w:ind w:firstLine="0"/>
    </w:pPr>
  </w:style>
  <w:style w:type="paragraph" w:styleId="ListContinue3">
    <w:name w:val="List Continue 3"/>
    <w:basedOn w:val="List3"/>
    <w:rsid w:val="00CD2D02"/>
    <w:pPr>
      <w:ind w:left="1021" w:firstLine="0"/>
    </w:pPr>
  </w:style>
  <w:style w:type="paragraph" w:styleId="ListContinue4">
    <w:name w:val="List Continue 4"/>
    <w:basedOn w:val="List4"/>
    <w:rsid w:val="00CD2D02"/>
    <w:pPr>
      <w:ind w:firstLine="0"/>
    </w:pPr>
  </w:style>
  <w:style w:type="paragraph" w:styleId="ListContinue5">
    <w:name w:val="List Continue 5"/>
    <w:basedOn w:val="List5"/>
    <w:rsid w:val="00CD2D02"/>
    <w:pPr>
      <w:ind w:firstLine="0"/>
    </w:pPr>
  </w:style>
  <w:style w:type="paragraph" w:styleId="ListNumber3">
    <w:name w:val="List Number 3"/>
    <w:basedOn w:val="List3"/>
    <w:rsid w:val="00CD2D02"/>
    <w:pPr>
      <w:numPr>
        <w:numId w:val="5"/>
      </w:numPr>
    </w:pPr>
  </w:style>
  <w:style w:type="paragraph" w:styleId="ListNumber4">
    <w:name w:val="List Number 4"/>
    <w:basedOn w:val="List4"/>
    <w:rsid w:val="00CD2D02"/>
    <w:pPr>
      <w:numPr>
        <w:numId w:val="6"/>
      </w:numPr>
    </w:pPr>
  </w:style>
  <w:style w:type="paragraph" w:styleId="ListNumber5">
    <w:name w:val="List Number 5"/>
    <w:basedOn w:val="List5"/>
    <w:rsid w:val="00CD2D02"/>
    <w:pPr>
      <w:numPr>
        <w:numId w:val="7"/>
      </w:numPr>
    </w:pPr>
  </w:style>
  <w:style w:type="paragraph" w:styleId="BlockText">
    <w:name w:val="Block Text"/>
    <w:basedOn w:val="Normal"/>
    <w:rsid w:val="00CD2D02"/>
    <w:pPr>
      <w:spacing w:after="120"/>
      <w:ind w:left="1440" w:right="1440"/>
    </w:pPr>
  </w:style>
  <w:style w:type="character" w:customStyle="1" w:styleId="Subscript">
    <w:name w:val="Subscript"/>
    <w:basedOn w:val="DefaultParagraphFont"/>
    <w:rsid w:val="00CD2D02"/>
    <w:rPr>
      <w:sz w:val="16"/>
      <w:vertAlign w:val="subscript"/>
    </w:rPr>
  </w:style>
  <w:style w:type="character" w:customStyle="1" w:styleId="Superscript">
    <w:name w:val="Superscript"/>
    <w:basedOn w:val="DefaultParagraphFont"/>
    <w:rsid w:val="00CD2D02"/>
    <w:rPr>
      <w:sz w:val="16"/>
      <w:vertAlign w:val="superscript"/>
    </w:rPr>
  </w:style>
  <w:style w:type="character" w:customStyle="1" w:styleId="Symbols">
    <w:name w:val="Symbols"/>
    <w:basedOn w:val="DefaultParagraphFont"/>
    <w:rsid w:val="00CD2D02"/>
    <w:rPr>
      <w:rFonts w:ascii="Symbol" w:hAnsi="Symbol"/>
    </w:rPr>
  </w:style>
  <w:style w:type="character" w:customStyle="1" w:styleId="MenuOptions">
    <w:name w:val="Menu Options"/>
    <w:basedOn w:val="DefaultParagraphFont"/>
    <w:rsid w:val="00CD2D02"/>
    <w:rPr>
      <w:rFonts w:ascii="Arial Narrow" w:hAnsi="Arial Narrow"/>
      <w:smallCaps/>
    </w:rPr>
  </w:style>
  <w:style w:type="character" w:customStyle="1" w:styleId="Buttons">
    <w:name w:val="Buttons"/>
    <w:basedOn w:val="DefaultParagraphFont"/>
    <w:rsid w:val="00CD2D02"/>
    <w:rPr>
      <w:b/>
    </w:rPr>
  </w:style>
  <w:style w:type="character" w:customStyle="1" w:styleId="Underlined">
    <w:name w:val="Underlined"/>
    <w:basedOn w:val="DefaultParagraphFont"/>
    <w:rsid w:val="00CD2D02"/>
    <w:rPr>
      <w:u w:val="single"/>
    </w:rPr>
  </w:style>
  <w:style w:type="paragraph" w:customStyle="1" w:styleId="TableBodyTextRight">
    <w:name w:val="Table Body Text Right"/>
    <w:basedOn w:val="TableBodyText"/>
    <w:rsid w:val="00CD2D02"/>
    <w:pPr>
      <w:widowControl w:val="0"/>
      <w:autoSpaceDE w:val="0"/>
      <w:autoSpaceDN w:val="0"/>
      <w:adjustRightInd w:val="0"/>
      <w:jc w:val="right"/>
    </w:pPr>
    <w:rPr>
      <w:rFonts w:cs="Arial"/>
      <w:szCs w:val="18"/>
    </w:rPr>
  </w:style>
  <w:style w:type="paragraph" w:customStyle="1" w:styleId="CopyrightText">
    <w:name w:val="Copyright Text"/>
    <w:basedOn w:val="BodyText"/>
    <w:rsid w:val="00CD2D02"/>
    <w:rPr>
      <w:sz w:val="18"/>
    </w:rPr>
  </w:style>
  <w:style w:type="paragraph" w:customStyle="1" w:styleId="BodySmallRight">
    <w:name w:val="Body Small Right"/>
    <w:basedOn w:val="BodyTextRight"/>
    <w:rsid w:val="00CD2D02"/>
    <w:rPr>
      <w:sz w:val="18"/>
      <w:szCs w:val="18"/>
    </w:rPr>
  </w:style>
  <w:style w:type="paragraph" w:customStyle="1" w:styleId="MarginEdition">
    <w:name w:val="Margin Edition"/>
    <w:basedOn w:val="MarginNote"/>
    <w:rsid w:val="00CD2D02"/>
    <w:pPr>
      <w:spacing w:before="0" w:after="0"/>
    </w:pPr>
    <w:rPr>
      <w:rFonts w:ascii="Times New Roman" w:hAnsi="Times New Roman"/>
      <w:color w:val="999999"/>
    </w:rPr>
  </w:style>
  <w:style w:type="paragraph" w:customStyle="1" w:styleId="Spacer">
    <w:name w:val="Spacer"/>
    <w:basedOn w:val="Normal"/>
    <w:rsid w:val="00CD2D02"/>
    <w:rPr>
      <w:sz w:val="2"/>
      <w:szCs w:val="2"/>
    </w:rPr>
  </w:style>
  <w:style w:type="character" w:customStyle="1" w:styleId="Small">
    <w:name w:val="Small"/>
    <w:basedOn w:val="DefaultParagraphFont"/>
    <w:rsid w:val="00CD2D02"/>
    <w:rPr>
      <w:sz w:val="16"/>
    </w:rPr>
  </w:style>
  <w:style w:type="paragraph" w:customStyle="1" w:styleId="WideTable">
    <w:name w:val="Wide Table"/>
    <w:basedOn w:val="Normal"/>
    <w:rsid w:val="00CD2D02"/>
    <w:pPr>
      <w:ind w:left="-1418"/>
    </w:pPr>
    <w:rPr>
      <w:sz w:val="2"/>
      <w:szCs w:val="2"/>
    </w:rPr>
  </w:style>
  <w:style w:type="character" w:styleId="PageNumber">
    <w:name w:val="page number"/>
    <w:basedOn w:val="DefaultParagraphFont"/>
    <w:rsid w:val="00CD2D02"/>
  </w:style>
  <w:style w:type="paragraph" w:styleId="Quote">
    <w:name w:val="Quote"/>
    <w:basedOn w:val="Heading1"/>
    <w:link w:val="QuoteChar"/>
    <w:qFormat/>
    <w:rsid w:val="00CD2D02"/>
    <w:rPr>
      <w:b w:val="0"/>
      <w:sz w:val="72"/>
      <w:szCs w:val="72"/>
      <w:lang w:val="en-NZ"/>
    </w:rPr>
  </w:style>
  <w:style w:type="character" w:customStyle="1" w:styleId="QuoteChar">
    <w:name w:val="Quote Char"/>
    <w:basedOn w:val="DefaultParagraphFont"/>
    <w:link w:val="Quote"/>
    <w:rsid w:val="00CD2D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2D02"/>
    <w:pPr>
      <w:pageBreakBefore/>
    </w:pPr>
  </w:style>
  <w:style w:type="paragraph" w:customStyle="1" w:styleId="Border">
    <w:name w:val="Border"/>
    <w:basedOn w:val="Normal"/>
    <w:qFormat/>
    <w:rsid w:val="00CD2D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2D02"/>
    <w:rPr>
      <w:b/>
      <w:bCs/>
      <w:i/>
      <w:iCs/>
      <w:color w:val="auto"/>
    </w:rPr>
  </w:style>
  <w:style w:type="paragraph" w:styleId="IntenseQuote">
    <w:name w:val="Intense Quote"/>
    <w:basedOn w:val="Normal"/>
    <w:next w:val="Normal"/>
    <w:link w:val="IntenseQuoteChar"/>
    <w:uiPriority w:val="30"/>
    <w:qFormat/>
    <w:rsid w:val="00CD2D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2D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2D02"/>
    <w:rPr>
      <w:smallCaps/>
      <w:color w:val="auto"/>
      <w:u w:val="single"/>
    </w:rPr>
  </w:style>
  <w:style w:type="character" w:styleId="IntenseReference">
    <w:name w:val="Intense Reference"/>
    <w:basedOn w:val="DefaultParagraphFont"/>
    <w:uiPriority w:val="32"/>
    <w:qFormat/>
    <w:rsid w:val="00CD2D02"/>
    <w:rPr>
      <w:b/>
      <w:bCs/>
      <w:smallCaps/>
      <w:color w:val="auto"/>
      <w:spacing w:val="5"/>
      <w:u w:val="single"/>
    </w:rPr>
  </w:style>
  <w:style w:type="paragraph" w:customStyle="1" w:styleId="2ColumnHeading">
    <w:name w:val="2Column Heading"/>
    <w:basedOn w:val="BodyText"/>
    <w:qFormat/>
    <w:rsid w:val="00CD2D02"/>
    <w:pPr>
      <w:spacing w:after="60"/>
      <w:ind w:left="-2268"/>
    </w:pPr>
    <w:rPr>
      <w:b/>
    </w:rPr>
  </w:style>
  <w:style w:type="paragraph" w:customStyle="1" w:styleId="Heading1TOC">
    <w:name w:val="Heading1 TOC"/>
    <w:basedOn w:val="Normal"/>
    <w:qFormat/>
    <w:rsid w:val="00CD2D02"/>
    <w:pPr>
      <w:spacing w:before="240" w:after="120"/>
    </w:pPr>
    <w:rPr>
      <w:rFonts w:ascii="Times New Roman" w:hAnsi="Times New Roman"/>
      <w:b/>
      <w:sz w:val="32"/>
    </w:rPr>
  </w:style>
  <w:style w:type="paragraph" w:customStyle="1" w:styleId="Heading2TOC">
    <w:name w:val="Heading2 TOC"/>
    <w:basedOn w:val="Normal"/>
    <w:qFormat/>
    <w:rsid w:val="00CD2D02"/>
    <w:pPr>
      <w:spacing w:before="240" w:after="60"/>
    </w:pPr>
    <w:rPr>
      <w:rFonts w:ascii="Times New Roman" w:hAnsi="Times New Roman"/>
      <w:b/>
      <w:sz w:val="28"/>
    </w:rPr>
  </w:style>
  <w:style w:type="character" w:customStyle="1" w:styleId="Underline">
    <w:name w:val="Underline"/>
    <w:basedOn w:val="DefaultParagraphFont"/>
    <w:qFormat/>
    <w:rsid w:val="00CD2D02"/>
    <w:rPr>
      <w:u w:val="single"/>
    </w:rPr>
  </w:style>
  <w:style w:type="character" w:customStyle="1" w:styleId="BoldandItalics">
    <w:name w:val="Bold and Italics"/>
    <w:qFormat/>
    <w:rsid w:val="00CD2D02"/>
    <w:rPr>
      <w:b/>
      <w:i/>
      <w:u w:val="none"/>
    </w:rPr>
  </w:style>
  <w:style w:type="paragraph" w:styleId="BalloonText">
    <w:name w:val="Balloon Text"/>
    <w:basedOn w:val="Normal"/>
    <w:link w:val="BalloonTextChar"/>
    <w:rsid w:val="00CD2D02"/>
    <w:rPr>
      <w:rFonts w:ascii="Tahoma" w:hAnsi="Tahoma" w:cs="Tahoma"/>
      <w:sz w:val="16"/>
      <w:szCs w:val="16"/>
    </w:rPr>
  </w:style>
  <w:style w:type="character" w:customStyle="1" w:styleId="BalloonTextChar">
    <w:name w:val="Balloon Text Char"/>
    <w:basedOn w:val="DefaultParagraphFont"/>
    <w:link w:val="BalloonText"/>
    <w:rsid w:val="00CD2D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2D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2D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2D02"/>
    <w:rPr>
      <w:b/>
      <w:color w:val="660033"/>
      <w:spacing w:val="0"/>
    </w:rPr>
  </w:style>
  <w:style w:type="paragraph" w:customStyle="1" w:styleId="Nameditemlist">
    <w:name w:val="Named item list"/>
    <w:basedOn w:val="BodyText"/>
    <w:qFormat/>
    <w:rsid w:val="00CD2D02"/>
    <w:pPr>
      <w:tabs>
        <w:tab w:val="left" w:pos="2835"/>
      </w:tabs>
      <w:ind w:left="2835" w:hanging="2835"/>
    </w:pPr>
  </w:style>
  <w:style w:type="paragraph" w:customStyle="1" w:styleId="BodyTextnopadding">
    <w:name w:val="Body Text no padding"/>
    <w:basedOn w:val="BodyText"/>
    <w:qFormat/>
    <w:rsid w:val="00CD2D02"/>
    <w:pPr>
      <w:spacing w:before="0" w:after="0"/>
    </w:pPr>
  </w:style>
  <w:style w:type="paragraph" w:customStyle="1" w:styleId="BodyTextBold">
    <w:name w:val="Body Text Bold"/>
    <w:basedOn w:val="BodyText"/>
    <w:qFormat/>
    <w:rsid w:val="00CD2D02"/>
    <w:rPr>
      <w:b/>
    </w:rPr>
  </w:style>
  <w:style w:type="character" w:styleId="Hyperlink">
    <w:name w:val="Hyperlink"/>
    <w:basedOn w:val="DefaultParagraphFont"/>
    <w:uiPriority w:val="99"/>
    <w:unhideWhenUsed/>
    <w:rsid w:val="001559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1346</Words>
  <Characters>8645</Characters>
  <Application>Microsoft Office Word</Application>
  <DocSecurity>0</DocSecurity>
  <Lines>360</Lines>
  <Paragraphs>222</Paragraphs>
  <ScaleCrop>false</ScaleCrop>
  <Company>Author-it Software Corporation Ltd.</Company>
  <LinksUpToDate>false</LinksUpToDate>
  <CharactersWithSpaces>9769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MSS405022 Design a process layout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2025-03-01T20:56:00Z</dcterms:created>
  <dcterms:modified xsi:type="dcterms:W3CDTF">2025-03-01T20:56:00Z</dcterms:modified>
</cp:coreProperties>
</file>