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9EB" w:rsidP="00D719EB">
      <w:pPr>
        <w:pStyle w:val="Title"/>
      </w:pPr>
      <w:r>
        <w:fldChar w:fldCharType="begin"/>
      </w:r>
      <w:r>
        <w:instrText xml:space="preserve"> TITLE   \* MERGEFORMAT </w:instrText>
      </w:r>
      <w:r>
        <w:fldChar w:fldCharType="separate"/>
      </w:r>
      <w:r>
        <w:t>MSS405020 Develop quick changeover procedures</w:t>
      </w:r>
      <w:r>
        <w:fldChar w:fldCharType="end"/>
      </w:r>
    </w:p>
    <w:p w:rsidR="00D719EB" w:rsidP="00D719EB">
      <w:pPr>
        <w:pStyle w:val="Version"/>
        <w:sectPr w:rsidSect="00B05A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5A0B" w:rsidP="00B05A0B">
      <w:pPr>
        <w:pStyle w:val="SuperHeading"/>
      </w:pPr>
      <w:r w:rsidRPr="00B05A0B">
        <w:t>MSS405020 Develop quick changeover procedures</w:t>
      </w:r>
    </w:p>
    <w:p w:rsidR="00000000" w:rsidRPr="00B05A0B" w:rsidP="00B05A0B">
      <w:pPr>
        <w:pStyle w:val="Heading1"/>
      </w:pPr>
      <w:bookmarkStart w:id="1" w:name="O_921195"/>
      <w:bookmarkEnd w:id="1"/>
      <w:r w:rsidRPr="00B05A0B">
        <w:t>Modification History</w:t>
      </w:r>
    </w:p>
    <w:p w:rsidR="00000000" w:rsidRPr="00B05A0B" w:rsidP="00D719EB">
      <w:pPr>
        <w:pStyle w:val="BodyText"/>
      </w:pPr>
      <w:r w:rsidRPr="00B05A0B">
        <w:t>Release 1. Supersedes and is equivalent to MSS405020A Develop quick changeover procedures</w:t>
      </w:r>
    </w:p>
    <w:p w:rsidR="00000000" w:rsidRPr="00B05A0B" w:rsidP="00B05A0B">
      <w:pPr>
        <w:pStyle w:val="Heading1"/>
      </w:pPr>
      <w:bookmarkStart w:id="2" w:name="O_921203"/>
      <w:bookmarkEnd w:id="2"/>
      <w:r w:rsidRPr="00B05A0B">
        <w:t>Application</w:t>
      </w:r>
    </w:p>
    <w:p w:rsidR="00000000" w:rsidRPr="00B05A0B" w:rsidP="00D719EB">
      <w:pPr>
        <w:pStyle w:val="BodyText"/>
      </w:pPr>
      <w:r w:rsidRPr="00B05A0B">
        <w:t>This unit of competency covers the skills and knowledge required to develop/improve changeovers for equipmen</w:t>
      </w:r>
      <w:r w:rsidRPr="00B05A0B">
        <w:t>t, processes or operations. It includes critically analysing existing changeovers, applying quick changeover principles, and developing improved changeover procedures.</w:t>
      </w:r>
    </w:p>
    <w:p w:rsidR="00000000" w:rsidRPr="00B05A0B" w:rsidP="00D719EB">
      <w:pPr>
        <w:pStyle w:val="BodyText"/>
      </w:pPr>
      <w:r w:rsidRPr="00B05A0B">
        <w:t>This unit applies to managers, technical specialists or similar in an organisation that</w:t>
      </w:r>
      <w:r w:rsidRPr="00B05A0B">
        <w:t xml:space="preserve"> has adopted or is adopting a quick changeover approach to its changeovers. </w:t>
      </w:r>
    </w:p>
    <w:p w:rsidR="00000000" w:rsidRPr="00B05A0B" w:rsidP="00D719EB">
      <w:pPr>
        <w:pStyle w:val="BodyText"/>
      </w:pPr>
      <w:r w:rsidRPr="00B05A0B">
        <w:t>This unit requires the application of skills associated with communication, problem solving, initiative, enterprise, planning and organising in order to analyse and determine cha</w:t>
      </w:r>
      <w:r w:rsidRPr="00B05A0B">
        <w:t>ngeover procedures. This unit also requires aspects of self-management and learning to ensure feedback and new learning is integrated into the development of procedures.</w:t>
      </w:r>
    </w:p>
    <w:p w:rsidR="00000000" w:rsidRPr="00B05A0B" w:rsidP="00D719EB">
      <w:pPr>
        <w:pStyle w:val="BodyText"/>
      </w:pPr>
      <w:r w:rsidRPr="00B05A0B">
        <w:t>No licensing, legislative or certification requirements apply to this unit at the tim</w:t>
      </w:r>
      <w:r w:rsidRPr="00B05A0B">
        <w:t>e of publication.</w:t>
      </w:r>
    </w:p>
    <w:p w:rsidR="00000000" w:rsidRPr="00B05A0B" w:rsidP="00B05A0B">
      <w:pPr>
        <w:pStyle w:val="Heading1"/>
      </w:pPr>
      <w:bookmarkStart w:id="3" w:name="O_921202"/>
      <w:bookmarkEnd w:id="3"/>
      <w:r w:rsidRPr="00B05A0B">
        <w:t>Pre-requisite Unit</w:t>
      </w:r>
    </w:p>
    <w:p w:rsidR="00000000" w:rsidRPr="00B05A0B" w:rsidP="00D719EB">
      <w:pPr>
        <w:pStyle w:val="BodyText"/>
      </w:pPr>
      <w:r w:rsidRPr="00B05A0B">
        <w:t>Nil</w:t>
      </w:r>
    </w:p>
    <w:p w:rsidR="00000000" w:rsidRPr="00B05A0B" w:rsidP="00B05A0B">
      <w:pPr>
        <w:pStyle w:val="Heading1"/>
      </w:pPr>
      <w:bookmarkStart w:id="4" w:name="O_921201"/>
      <w:bookmarkEnd w:id="4"/>
      <w:r w:rsidRPr="00B05A0B">
        <w:t>Competency Field</w:t>
      </w:r>
    </w:p>
    <w:p w:rsidR="00000000" w:rsidRPr="00B05A0B" w:rsidP="00D719EB">
      <w:pPr>
        <w:pStyle w:val="BodyText"/>
      </w:pPr>
      <w:r w:rsidRPr="00B05A0B">
        <w:t>Competitive systems and practices</w:t>
      </w:r>
    </w:p>
    <w:p w:rsidR="00000000" w:rsidRPr="00B05A0B" w:rsidP="00B05A0B">
      <w:pPr>
        <w:pStyle w:val="Heading1"/>
      </w:pPr>
      <w:bookmarkStart w:id="5" w:name="O_921200"/>
      <w:bookmarkEnd w:id="5"/>
      <w:r w:rsidRPr="00B05A0B">
        <w:t>Unit Sector</w:t>
      </w:r>
    </w:p>
    <w:p w:rsidR="00000000" w:rsidRPr="00B05A0B" w:rsidP="00D719EB">
      <w:pPr>
        <w:pStyle w:val="BodyText"/>
      </w:pPr>
      <w:r w:rsidRPr="00B05A0B">
        <w:t>Not applicable</w:t>
      </w:r>
    </w:p>
    <w:p w:rsidR="00000000" w:rsidRPr="00B05A0B" w:rsidP="00B05A0B">
      <w:pPr>
        <w:pStyle w:val="Heading1"/>
      </w:pPr>
      <w:bookmarkStart w:id="6" w:name="O_921199"/>
      <w:bookmarkEnd w:id="6"/>
      <w:r w:rsidRPr="00B05A0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05A0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Elements describe the essential out</w:t>
            </w:r>
            <w:r w:rsidRPr="00B05A0B">
              <w:t>comes.</w:t>
            </w:r>
          </w:p>
        </w:tc>
        <w:tc>
          <w:tcPr>
            <w:tcW w:w="6380" w:type="dxa"/>
            <w:gridSpan w:val="2"/>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Performance criteria describe the performance needed to demonstrate achievement of the element.</w:t>
            </w:r>
          </w:p>
        </w:tc>
      </w:tr>
      <w:tr w:rsidTr="00B05A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5A0B" w:rsidP="00B05A0B">
            <w:pPr>
              <w:pStyle w:val="BodyText"/>
            </w:pPr>
            <w:r w:rsidRPr="00B05A0B">
              <w:t>1</w:t>
            </w:r>
          </w:p>
        </w:tc>
        <w:tc>
          <w:tcPr>
            <w:tcW w:w="1962" w:type="dxa"/>
            <w:vMerge w:val="restart"/>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rPr>
                <w:rStyle w:val="SpecialBold"/>
              </w:rPr>
              <w:t>Analyse changeover</w:t>
            </w:r>
          </w:p>
        </w:tc>
        <w:tc>
          <w:tcPr>
            <w:tcW w:w="77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1.1</w:t>
            </w:r>
          </w:p>
        </w:tc>
        <w:tc>
          <w:tcPr>
            <w:tcW w:w="561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Critically observe changeover process.</w:t>
            </w:r>
          </w:p>
        </w:tc>
      </w:tr>
      <w:tr w:rsidTr="00B05A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1.2</w:t>
            </w:r>
          </w:p>
        </w:tc>
        <w:tc>
          <w:tcPr>
            <w:tcW w:w="561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Identify steps in changeover.</w:t>
            </w:r>
          </w:p>
        </w:tc>
      </w:tr>
      <w:tr w:rsidTr="00B05A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1.3</w:t>
            </w:r>
          </w:p>
        </w:tc>
        <w:tc>
          <w:tcPr>
            <w:tcW w:w="561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Identify start situation and required finish situation for changeover.</w:t>
            </w:r>
          </w:p>
        </w:tc>
      </w:tr>
      <w:tr w:rsidTr="00B05A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5A0B">
            <w:pPr>
              <w:pStyle w:val="BodyText"/>
              <w:rPr>
                <w:lang w:val="en-NZ"/>
              </w:rPr>
            </w:pPr>
          </w:p>
        </w:tc>
      </w:tr>
      <w:tr w:rsidTr="00B05A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5A0B" w:rsidP="00B05A0B">
            <w:pPr>
              <w:pStyle w:val="BodyText"/>
            </w:pPr>
            <w:r w:rsidRPr="00B05A0B">
              <w:t>2</w:t>
            </w:r>
          </w:p>
        </w:tc>
        <w:tc>
          <w:tcPr>
            <w:tcW w:w="1962" w:type="dxa"/>
            <w:vMerge w:val="restart"/>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rPr>
                <w:rStyle w:val="SpecialBold"/>
              </w:rPr>
              <w:t>Apply quick changeover principles</w:t>
            </w:r>
          </w:p>
        </w:tc>
        <w:tc>
          <w:tcPr>
            <w:tcW w:w="77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2.1</w:t>
            </w:r>
          </w:p>
        </w:tc>
        <w:tc>
          <w:tcPr>
            <w:tcW w:w="561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Identify changes to the start situation and required finish situation which are possible.</w:t>
            </w:r>
          </w:p>
        </w:tc>
      </w:tr>
      <w:tr w:rsidTr="00B05A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2.2</w:t>
            </w:r>
          </w:p>
        </w:tc>
        <w:tc>
          <w:tcPr>
            <w:tcW w:w="561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Identify internal and external changeover activities.</w:t>
            </w:r>
          </w:p>
        </w:tc>
      </w:tr>
      <w:tr w:rsidTr="00B05A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2.3</w:t>
            </w:r>
          </w:p>
        </w:tc>
        <w:tc>
          <w:tcPr>
            <w:tcW w:w="561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Identify activities which could be improved/eliminated.</w:t>
            </w:r>
          </w:p>
        </w:tc>
      </w:tr>
      <w:tr w:rsidTr="00B05A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2.4</w:t>
            </w:r>
          </w:p>
        </w:tc>
        <w:tc>
          <w:tcPr>
            <w:tcW w:w="561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Eliminate/reduce adjustments required after changeover.</w:t>
            </w:r>
          </w:p>
        </w:tc>
      </w:tr>
      <w:tr w:rsidTr="00B05A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2.5</w:t>
            </w:r>
          </w:p>
        </w:tc>
        <w:tc>
          <w:tcPr>
            <w:tcW w:w="561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Develop improved changeover process and recommendations for implementation procedure.</w:t>
            </w:r>
          </w:p>
        </w:tc>
      </w:tr>
      <w:tr w:rsidTr="00B05A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2.6</w:t>
            </w:r>
          </w:p>
        </w:tc>
        <w:tc>
          <w:tcPr>
            <w:tcW w:w="561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Liaise with relevant people to validate recommendations.</w:t>
            </w:r>
          </w:p>
        </w:tc>
      </w:tr>
      <w:tr w:rsidTr="00B05A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5A0B">
            <w:pPr>
              <w:pStyle w:val="BodyText"/>
              <w:rPr>
                <w:lang w:val="en-NZ"/>
              </w:rPr>
            </w:pPr>
          </w:p>
        </w:tc>
      </w:tr>
      <w:tr w:rsidTr="00B05A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5A0B" w:rsidP="00B05A0B">
            <w:pPr>
              <w:pStyle w:val="BodyText"/>
            </w:pPr>
            <w:r w:rsidRPr="00B05A0B">
              <w:t>3</w:t>
            </w:r>
          </w:p>
        </w:tc>
        <w:tc>
          <w:tcPr>
            <w:tcW w:w="1962" w:type="dxa"/>
            <w:vMerge w:val="restart"/>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rPr>
                <w:rStyle w:val="SpecialBold"/>
              </w:rPr>
              <w:t>Assess and minimise risks in changeover</w:t>
            </w:r>
          </w:p>
        </w:tc>
        <w:tc>
          <w:tcPr>
            <w:tcW w:w="77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3.1</w:t>
            </w:r>
          </w:p>
        </w:tc>
        <w:tc>
          <w:tcPr>
            <w:tcW w:w="561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Analyse hazards and risks from all steps in changeover.</w:t>
            </w:r>
          </w:p>
        </w:tc>
      </w:tr>
      <w:tr w:rsidTr="00B05A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3.2</w:t>
            </w:r>
          </w:p>
        </w:tc>
        <w:tc>
          <w:tcPr>
            <w:tcW w:w="561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Apply ergonomic principles and hierarchy of control to each equipment and manual hazard.</w:t>
            </w:r>
          </w:p>
        </w:tc>
      </w:tr>
      <w:tr w:rsidTr="00B05A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3.3</w:t>
            </w:r>
          </w:p>
        </w:tc>
        <w:tc>
          <w:tcPr>
            <w:tcW w:w="561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Assess any regulatory risk in changeover.</w:t>
            </w:r>
          </w:p>
        </w:tc>
      </w:tr>
      <w:tr w:rsidTr="00B05A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3.4</w:t>
            </w:r>
          </w:p>
        </w:tc>
        <w:tc>
          <w:tcPr>
            <w:tcW w:w="561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Minimise hazards during changeover ensuring final risk profile is acceptable.</w:t>
            </w:r>
          </w:p>
        </w:tc>
      </w:tr>
      <w:tr w:rsidTr="00B05A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5A0B">
            <w:pPr>
              <w:pStyle w:val="BodyText"/>
              <w:rPr>
                <w:lang w:val="en-NZ"/>
              </w:rPr>
            </w:pPr>
          </w:p>
        </w:tc>
      </w:tr>
      <w:tr w:rsidTr="00B05A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5A0B" w:rsidP="00B05A0B">
            <w:pPr>
              <w:pStyle w:val="BodyText"/>
            </w:pPr>
            <w:r w:rsidRPr="00B05A0B">
              <w:t>4</w:t>
            </w:r>
          </w:p>
        </w:tc>
        <w:tc>
          <w:tcPr>
            <w:tcW w:w="1962" w:type="dxa"/>
            <w:vMerge w:val="restart"/>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rPr>
                <w:rStyle w:val="SpecialBold"/>
              </w:rPr>
              <w:t>Implement improved changeover</w:t>
            </w:r>
          </w:p>
        </w:tc>
        <w:tc>
          <w:tcPr>
            <w:tcW w:w="77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4.1</w:t>
            </w:r>
          </w:p>
        </w:tc>
        <w:tc>
          <w:tcPr>
            <w:tcW w:w="561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Acquire any required resources and approvals.</w:t>
            </w:r>
          </w:p>
        </w:tc>
      </w:tr>
      <w:tr w:rsidTr="00B05A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4.2</w:t>
            </w:r>
          </w:p>
        </w:tc>
        <w:tc>
          <w:tcPr>
            <w:tcW w:w="561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Organise trials of improved changeover.</w:t>
            </w:r>
          </w:p>
        </w:tc>
      </w:tr>
      <w:tr w:rsidTr="00B05A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4.3</w:t>
            </w:r>
          </w:p>
        </w:tc>
        <w:tc>
          <w:tcPr>
            <w:tcW w:w="561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Monitor trial.</w:t>
            </w:r>
          </w:p>
        </w:tc>
      </w:tr>
      <w:tr w:rsidTr="00B05A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4.4</w:t>
            </w:r>
          </w:p>
        </w:tc>
        <w:tc>
          <w:tcPr>
            <w:tcW w:w="561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Make adjustments to changeover process.</w:t>
            </w:r>
          </w:p>
        </w:tc>
      </w:tr>
      <w:tr w:rsidTr="00B05A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4.5</w:t>
            </w:r>
          </w:p>
        </w:tc>
        <w:tc>
          <w:tcPr>
            <w:tcW w:w="5610" w:type="dxa"/>
            <w:tcBorders>
              <w:top w:val="nil"/>
              <w:left w:val="nil"/>
              <w:bottom w:val="nil"/>
              <w:right w:val="nil"/>
            </w:tcBorders>
            <w:tcMar>
              <w:top w:w="0" w:type="dxa"/>
              <w:left w:w="62" w:type="dxa"/>
              <w:bottom w:w="0" w:type="dxa"/>
              <w:right w:w="62" w:type="dxa"/>
            </w:tcMar>
          </w:tcPr>
          <w:p w:rsidR="00000000" w:rsidRPr="00B05A0B" w:rsidP="00B05A0B">
            <w:pPr>
              <w:pStyle w:val="BodyText"/>
            </w:pPr>
            <w:r w:rsidRPr="00B05A0B">
              <w:t>Implement improved changeover process.</w:t>
            </w:r>
          </w:p>
        </w:tc>
      </w:tr>
    </w:tbl>
    <w:p w:rsidR="00000000" w:rsidRPr="00B05A0B" w:rsidP="00B05A0B">
      <w:pPr>
        <w:pStyle w:val="BodyText"/>
      </w:pPr>
    </w:p>
    <w:p w:rsidR="00000000" w:rsidRPr="00B05A0B" w:rsidP="00B05A0B">
      <w:pPr>
        <w:pStyle w:val="AllowPageBreak"/>
      </w:pPr>
    </w:p>
    <w:p w:rsidR="00000000" w:rsidRPr="00B05A0B" w:rsidP="00B05A0B">
      <w:pPr>
        <w:pStyle w:val="Heading1"/>
      </w:pPr>
      <w:bookmarkStart w:id="7" w:name="O_921198"/>
      <w:bookmarkEnd w:id="7"/>
      <w:r w:rsidRPr="00B05A0B">
        <w:t>Foundation Skills</w:t>
      </w:r>
    </w:p>
    <w:p w:rsidR="00000000" w:rsidRPr="00B05A0B" w:rsidP="00D719EB">
      <w:pPr>
        <w:pStyle w:val="BodyText"/>
      </w:pPr>
      <w:r w:rsidRPr="00B05A0B">
        <w:t>This section describes those required skills (language, literacy and numeracy) that are essential to performance.</w:t>
      </w:r>
    </w:p>
    <w:p w:rsidR="00000000" w:rsidRPr="00B05A0B" w:rsidP="00D719EB">
      <w:pPr>
        <w:pStyle w:val="BodyText"/>
      </w:pPr>
      <w:r w:rsidRPr="00B05A0B">
        <w:t>Foundation skills essential to performance are explicit in the performance criteria of this unit of competency.</w:t>
      </w:r>
    </w:p>
    <w:p w:rsidR="00000000" w:rsidRPr="00B05A0B" w:rsidP="00B05A0B">
      <w:pPr>
        <w:pStyle w:val="Heading1"/>
      </w:pPr>
      <w:bookmarkStart w:id="8" w:name="O_921197"/>
      <w:bookmarkEnd w:id="8"/>
      <w:r w:rsidRPr="00B05A0B">
        <w:t>Range of Conditions</w:t>
      </w:r>
    </w:p>
    <w:tbl>
      <w:tblPr>
        <w:tblW w:w="0" w:type="auto"/>
        <w:tblLayout w:type="fixed"/>
        <w:tblCellMar>
          <w:left w:w="62" w:type="dxa"/>
          <w:right w:w="62" w:type="dxa"/>
        </w:tblCellMar>
        <w:tblLook w:val="0000"/>
      </w:tblPr>
      <w:tblGrid>
        <w:gridCol w:w="2214"/>
        <w:gridCol w:w="6858"/>
      </w:tblGrid>
      <w:tr w:rsidTr="00B05A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t>This field allows for different work environments and conditions that may affect performance. Essential ope</w:t>
            </w:r>
            <w:r w:rsidRPr="00B05A0B">
              <w:t>rating conditions that may be present (depending on the work situation, needs of the candidate, accessibility of the item, and local industry and regional contexts) are included.</w:t>
            </w:r>
          </w:p>
        </w:tc>
      </w:tr>
      <w:tr w:rsidTr="00B05A0B">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rPr>
                <w:rStyle w:val="SpecialBold"/>
              </w:rPr>
              <w:t>Competitive systems and practices include one or more of:</w:t>
            </w:r>
          </w:p>
        </w:tc>
        <w:tc>
          <w:tcPr>
            <w:tcW w:w="6858" w:type="dxa"/>
            <w:tcBorders>
              <w:top w:val="nil"/>
              <w:left w:val="nil"/>
              <w:bottom w:val="nil"/>
              <w:right w:val="nil"/>
            </w:tcBorders>
            <w:tcMar>
              <w:top w:w="0" w:type="dxa"/>
              <w:left w:w="62" w:type="dxa"/>
              <w:bottom w:w="0" w:type="dxa"/>
              <w:right w:w="62" w:type="dxa"/>
            </w:tcMar>
          </w:tcPr>
          <w:p w:rsidR="00000000" w:rsidRPr="00B05A0B" w:rsidP="00B05A0B">
            <w:pPr>
              <w:pStyle w:val="ListBullet"/>
            </w:pPr>
            <w:r w:rsidRPr="00B05A0B">
              <w:t>lean operations</w:t>
            </w:r>
          </w:p>
          <w:p w:rsidR="00000000" w:rsidRPr="00B05A0B" w:rsidP="00B05A0B">
            <w:pPr>
              <w:pStyle w:val="ListBullet"/>
            </w:pPr>
            <w:r w:rsidRPr="00B05A0B">
              <w:t>agile operations</w:t>
            </w:r>
          </w:p>
          <w:p w:rsidR="00000000" w:rsidRPr="00B05A0B" w:rsidP="00B05A0B">
            <w:pPr>
              <w:pStyle w:val="ListBullet"/>
            </w:pPr>
            <w:r w:rsidRPr="00B05A0B">
              <w:t>preventative and predictive maintenance approaches</w:t>
            </w:r>
          </w:p>
          <w:p w:rsidR="00000000" w:rsidRPr="00B05A0B" w:rsidP="00B05A0B">
            <w:pPr>
              <w:pStyle w:val="ListBullet"/>
            </w:pPr>
            <w:r w:rsidRPr="00B05A0B">
              <w:t>statistical process control systems, including six sigma and three sigma</w:t>
            </w:r>
          </w:p>
          <w:p w:rsidR="00000000" w:rsidRPr="00B05A0B" w:rsidP="00B05A0B">
            <w:pPr>
              <w:pStyle w:val="ListBullet"/>
            </w:pPr>
            <w:r w:rsidRPr="00B05A0B">
              <w:t>Just in Time (JIT), kanban and other pull-related operations control systems</w:t>
            </w:r>
          </w:p>
          <w:p w:rsidR="00000000" w:rsidRPr="00B05A0B" w:rsidP="00B05A0B">
            <w:pPr>
              <w:pStyle w:val="ListBullet"/>
            </w:pPr>
            <w:r w:rsidRPr="00B05A0B">
              <w:t>supply, value, and demand chain monito</w:t>
            </w:r>
            <w:r w:rsidRPr="00B05A0B">
              <w:t>ring and analysis</w:t>
            </w:r>
          </w:p>
          <w:p w:rsidR="00000000" w:rsidRPr="00B05A0B" w:rsidP="00B05A0B">
            <w:pPr>
              <w:pStyle w:val="ListBullet"/>
            </w:pPr>
            <w:r w:rsidRPr="00B05A0B">
              <w:t xml:space="preserve">5S </w:t>
            </w:r>
          </w:p>
          <w:p w:rsidR="00000000" w:rsidRPr="00B05A0B" w:rsidP="00B05A0B">
            <w:pPr>
              <w:pStyle w:val="ListBullet"/>
            </w:pPr>
            <w:r w:rsidRPr="00B05A0B">
              <w:t>continuous improvement (kaizen)</w:t>
            </w:r>
          </w:p>
          <w:p w:rsidR="00000000" w:rsidRPr="00B05A0B" w:rsidP="00B05A0B">
            <w:pPr>
              <w:pStyle w:val="ListBullet"/>
            </w:pPr>
            <w:r w:rsidRPr="00B05A0B">
              <w:t>breakthrough improvement (kaizen blitz)</w:t>
            </w:r>
          </w:p>
          <w:p w:rsidR="00000000" w:rsidRPr="00B05A0B" w:rsidP="00B05A0B">
            <w:pPr>
              <w:pStyle w:val="ListBullet"/>
            </w:pPr>
            <w:r w:rsidRPr="00B05A0B">
              <w:t>cause/effect diagrams</w:t>
            </w:r>
          </w:p>
          <w:p w:rsidR="00000000" w:rsidRPr="00B05A0B" w:rsidP="00B05A0B">
            <w:pPr>
              <w:pStyle w:val="ListBullet"/>
            </w:pPr>
            <w:r w:rsidRPr="00B05A0B">
              <w:t>overall equipment effectiveness (OEE)</w:t>
            </w:r>
          </w:p>
          <w:p w:rsidR="00000000" w:rsidRPr="00B05A0B" w:rsidP="00B05A0B">
            <w:pPr>
              <w:pStyle w:val="ListBullet"/>
            </w:pPr>
            <w:r w:rsidRPr="00B05A0B">
              <w:t>takt time</w:t>
            </w:r>
          </w:p>
          <w:p w:rsidR="00000000" w:rsidRPr="00B05A0B" w:rsidP="00B05A0B">
            <w:pPr>
              <w:pStyle w:val="ListBullet"/>
            </w:pPr>
            <w:r w:rsidRPr="00B05A0B">
              <w:t>process mapping</w:t>
            </w:r>
          </w:p>
          <w:p w:rsidR="00000000" w:rsidRPr="00B05A0B" w:rsidP="00B05A0B">
            <w:pPr>
              <w:pStyle w:val="ListBullet"/>
            </w:pPr>
            <w:r w:rsidRPr="00B05A0B">
              <w:t xml:space="preserve">problem solving </w:t>
            </w:r>
          </w:p>
          <w:p w:rsidR="00000000" w:rsidRPr="00B05A0B" w:rsidP="00B05A0B">
            <w:pPr>
              <w:pStyle w:val="ListBullet"/>
            </w:pPr>
            <w:r w:rsidRPr="00B05A0B">
              <w:t>run charts</w:t>
            </w:r>
          </w:p>
          <w:p w:rsidR="00000000" w:rsidRPr="00B05A0B" w:rsidP="00B05A0B">
            <w:pPr>
              <w:pStyle w:val="ListBullet"/>
            </w:pPr>
            <w:r w:rsidRPr="00B05A0B">
              <w:t>standard procedures</w:t>
            </w:r>
          </w:p>
          <w:p w:rsidR="00000000" w:rsidRPr="00B05A0B" w:rsidP="00B05A0B">
            <w:pPr>
              <w:pStyle w:val="ListBullet"/>
            </w:pPr>
            <w:r w:rsidRPr="00B05A0B">
              <w:t>current reality tree.</w:t>
            </w:r>
          </w:p>
          <w:p w:rsidR="00000000" w:rsidP="00B05A0B">
            <w:pPr>
              <w:pStyle w:val="BodyText"/>
              <w:rPr>
                <w:lang w:val="en-NZ"/>
              </w:rPr>
            </w:pPr>
          </w:p>
        </w:tc>
      </w:tr>
      <w:tr w:rsidTr="00B05A0B">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rPr>
                <w:rStyle w:val="SpecialBold"/>
              </w:rPr>
              <w:t>Changeover refers to one or more of:</w:t>
            </w:r>
          </w:p>
        </w:tc>
        <w:tc>
          <w:tcPr>
            <w:tcW w:w="6858" w:type="dxa"/>
            <w:tcBorders>
              <w:top w:val="nil"/>
              <w:left w:val="nil"/>
              <w:bottom w:val="nil"/>
              <w:right w:val="nil"/>
            </w:tcBorders>
            <w:tcMar>
              <w:top w:w="0" w:type="dxa"/>
              <w:left w:w="62" w:type="dxa"/>
              <w:bottom w:w="0" w:type="dxa"/>
              <w:right w:w="62" w:type="dxa"/>
            </w:tcMar>
          </w:tcPr>
          <w:p w:rsidR="00000000" w:rsidRPr="00B05A0B" w:rsidP="00B05A0B">
            <w:pPr>
              <w:pStyle w:val="ListBullet"/>
            </w:pPr>
            <w:r w:rsidRPr="00B05A0B">
              <w:t xml:space="preserve">equipment exchanges, such as an exchange of dies/tools (traditional) </w:t>
            </w:r>
          </w:p>
          <w:p w:rsidR="00000000" w:rsidRPr="00B05A0B" w:rsidP="00B05A0B">
            <w:pPr>
              <w:pStyle w:val="ListBullet"/>
            </w:pPr>
            <w:r w:rsidRPr="00B05A0B">
              <w:t>change between batches</w:t>
            </w:r>
          </w:p>
          <w:p w:rsidR="00000000" w:rsidRPr="00B05A0B" w:rsidP="00B05A0B">
            <w:pPr>
              <w:pStyle w:val="ListBullet"/>
            </w:pPr>
            <w:r w:rsidRPr="00B05A0B">
              <w:t>change between campaigns (process manufacturing)</w:t>
            </w:r>
          </w:p>
          <w:p w:rsidR="00000000" w:rsidRPr="00B05A0B" w:rsidP="00B05A0B">
            <w:pPr>
              <w:pStyle w:val="ListBullet"/>
            </w:pPr>
            <w:r w:rsidRPr="00B05A0B">
              <w:t>quantum equipment/process change to produce a different product.</w:t>
            </w:r>
          </w:p>
          <w:p w:rsidR="00000000" w:rsidP="00B05A0B">
            <w:pPr>
              <w:pStyle w:val="BodyText"/>
              <w:rPr>
                <w:lang w:val="en-NZ"/>
              </w:rPr>
            </w:pPr>
          </w:p>
        </w:tc>
      </w:tr>
      <w:tr w:rsidTr="00B05A0B">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rPr>
                <w:rStyle w:val="SpecialBold"/>
              </w:rPr>
              <w:t>Activitie</w:t>
            </w:r>
            <w:r w:rsidRPr="00B05A0B">
              <w:rPr>
                <w:rStyle w:val="SpecialBold"/>
              </w:rPr>
              <w:t>s which should be improved/ eliminated include one or more of:</w:t>
            </w:r>
          </w:p>
        </w:tc>
        <w:tc>
          <w:tcPr>
            <w:tcW w:w="6858" w:type="dxa"/>
            <w:tcBorders>
              <w:top w:val="nil"/>
              <w:left w:val="nil"/>
              <w:bottom w:val="nil"/>
              <w:right w:val="nil"/>
            </w:tcBorders>
            <w:tcMar>
              <w:top w:w="0" w:type="dxa"/>
              <w:left w:w="62" w:type="dxa"/>
              <w:bottom w:w="0" w:type="dxa"/>
              <w:right w:w="62" w:type="dxa"/>
            </w:tcMar>
          </w:tcPr>
          <w:p w:rsidR="00000000" w:rsidRPr="00B05A0B" w:rsidP="00B05A0B">
            <w:pPr>
              <w:pStyle w:val="ListBullet"/>
            </w:pPr>
            <w:r w:rsidRPr="00B05A0B">
              <w:t xml:space="preserve">those which take time or are unreliable in terms of outcome </w:t>
            </w:r>
          </w:p>
          <w:p w:rsidR="00000000" w:rsidRPr="00B05A0B" w:rsidP="00B05A0B">
            <w:pPr>
              <w:pStyle w:val="ListBullet"/>
            </w:pPr>
            <w:r w:rsidRPr="00B05A0B">
              <w:t>those which are difficult to do or have adverse work health and safety (WHS) implications (e.g. repetitive strain injury, back injury and finger injuries).</w:t>
            </w:r>
          </w:p>
          <w:p w:rsidR="00000000" w:rsidP="00B05A0B">
            <w:pPr>
              <w:pStyle w:val="BodyText"/>
              <w:rPr>
                <w:lang w:val="en-NZ"/>
              </w:rPr>
            </w:pPr>
          </w:p>
        </w:tc>
      </w:tr>
      <w:tr w:rsidTr="00B05A0B">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rPr>
                <w:rStyle w:val="SpecialBold"/>
              </w:rPr>
              <w:t>Hazards and risks are related to one or more of:</w:t>
            </w:r>
          </w:p>
        </w:tc>
        <w:tc>
          <w:tcPr>
            <w:tcW w:w="6858" w:type="dxa"/>
            <w:tcBorders>
              <w:top w:val="nil"/>
              <w:left w:val="nil"/>
              <w:bottom w:val="nil"/>
              <w:right w:val="nil"/>
            </w:tcBorders>
            <w:tcMar>
              <w:top w:w="0" w:type="dxa"/>
              <w:left w:w="62" w:type="dxa"/>
              <w:bottom w:w="0" w:type="dxa"/>
              <w:right w:w="62" w:type="dxa"/>
            </w:tcMar>
          </w:tcPr>
          <w:p w:rsidR="00000000" w:rsidRPr="00B05A0B" w:rsidP="00B05A0B">
            <w:pPr>
              <w:pStyle w:val="ListBullet"/>
            </w:pPr>
            <w:r w:rsidRPr="00B05A0B">
              <w:t xml:space="preserve">WHS </w:t>
            </w:r>
          </w:p>
          <w:p w:rsidR="00000000" w:rsidRPr="00B05A0B" w:rsidP="00B05A0B">
            <w:pPr>
              <w:pStyle w:val="ListBullet"/>
            </w:pPr>
            <w:r w:rsidRPr="00B05A0B">
              <w:t>regulatory compliance</w:t>
            </w:r>
          </w:p>
          <w:p w:rsidR="00000000" w:rsidRPr="00B05A0B" w:rsidP="00B05A0B">
            <w:pPr>
              <w:pStyle w:val="ListBullet"/>
            </w:pPr>
            <w:r w:rsidRPr="00B05A0B">
              <w:t>environment</w:t>
            </w:r>
          </w:p>
          <w:p w:rsidR="00000000" w:rsidRPr="00B05A0B" w:rsidP="00B05A0B">
            <w:pPr>
              <w:pStyle w:val="ListBullet"/>
            </w:pPr>
            <w:r w:rsidRPr="00B05A0B">
              <w:t>commercia</w:t>
            </w:r>
            <w:r w:rsidRPr="00B05A0B">
              <w:t>l and contractual obligations.</w:t>
            </w:r>
          </w:p>
          <w:p w:rsidR="00000000" w:rsidP="00B05A0B">
            <w:pPr>
              <w:pStyle w:val="BodyText"/>
              <w:rPr>
                <w:lang w:val="en-NZ"/>
              </w:rPr>
            </w:pPr>
          </w:p>
        </w:tc>
      </w:tr>
      <w:tr w:rsidTr="00B05A0B">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B05A0B">
            <w:pPr>
              <w:pStyle w:val="BodyText"/>
              <w:rPr>
                <w:lang w:val="en-NZ"/>
              </w:rPr>
            </w:pPr>
            <w:r w:rsidRPr="00B05A0B">
              <w:rPr>
                <w:rStyle w:val="SpecialBold"/>
              </w:rPr>
              <w:t>Procedures (written, verbal, visual, computer based, etc.) include one or any combination of:</w:t>
            </w:r>
          </w:p>
        </w:tc>
        <w:tc>
          <w:tcPr>
            <w:tcW w:w="6858" w:type="dxa"/>
            <w:tcBorders>
              <w:top w:val="nil"/>
              <w:left w:val="nil"/>
              <w:bottom w:val="nil"/>
              <w:right w:val="nil"/>
            </w:tcBorders>
            <w:tcMar>
              <w:top w:w="0" w:type="dxa"/>
              <w:left w:w="62" w:type="dxa"/>
              <w:bottom w:w="0" w:type="dxa"/>
              <w:right w:w="62" w:type="dxa"/>
            </w:tcMar>
          </w:tcPr>
          <w:p w:rsidR="00000000" w:rsidRPr="00B05A0B" w:rsidP="00B05A0B">
            <w:pPr>
              <w:pStyle w:val="ListBullet"/>
            </w:pPr>
            <w:r w:rsidRPr="00B05A0B">
              <w:t>work instructions</w:t>
            </w:r>
          </w:p>
          <w:p w:rsidR="00000000" w:rsidRPr="00B05A0B" w:rsidP="00B05A0B">
            <w:pPr>
              <w:pStyle w:val="ListBullet"/>
            </w:pPr>
            <w:r w:rsidRPr="00B05A0B">
              <w:t>standard operating procedures (SOPs)</w:t>
            </w:r>
          </w:p>
          <w:p w:rsidR="00000000" w:rsidRPr="00B05A0B" w:rsidP="00B05A0B">
            <w:pPr>
              <w:pStyle w:val="ListBullet"/>
            </w:pPr>
            <w:r w:rsidRPr="00B05A0B">
              <w:t>safe work method statements</w:t>
            </w:r>
          </w:p>
          <w:p w:rsidR="00000000" w:rsidRPr="00B05A0B" w:rsidP="00B05A0B">
            <w:pPr>
              <w:pStyle w:val="ListBullet"/>
            </w:pPr>
            <w:r w:rsidRPr="00B05A0B">
              <w:t>formulas/recipes</w:t>
            </w:r>
          </w:p>
          <w:p w:rsidR="00000000" w:rsidRPr="00B05A0B" w:rsidP="00B05A0B">
            <w:pPr>
              <w:pStyle w:val="ListBullet"/>
            </w:pPr>
            <w:r w:rsidRPr="00B05A0B">
              <w:t>batch sheets</w:t>
            </w:r>
          </w:p>
          <w:p w:rsidR="00000000" w:rsidRPr="00B05A0B" w:rsidP="00B05A0B">
            <w:pPr>
              <w:pStyle w:val="ListBullet"/>
            </w:pPr>
            <w:r w:rsidRPr="00B05A0B">
              <w:t>temporary instructions</w:t>
            </w:r>
          </w:p>
          <w:p w:rsidR="00000000" w:rsidRPr="00B05A0B" w:rsidP="00B05A0B">
            <w:pPr>
              <w:pStyle w:val="ListBullet"/>
            </w:pPr>
            <w:r w:rsidRPr="00B05A0B">
              <w:t>any similar instructions provided for the smooth running of the plant.</w:t>
            </w:r>
          </w:p>
          <w:p w:rsidR="00000000" w:rsidRPr="00B05A0B" w:rsidP="00B05A0B">
            <w:pPr>
              <w:pStyle w:val="BodyText"/>
            </w:pPr>
          </w:p>
        </w:tc>
      </w:tr>
    </w:tbl>
    <w:p w:rsidR="00000000" w:rsidRPr="00B05A0B" w:rsidP="00B05A0B">
      <w:pPr>
        <w:pStyle w:val="BodyText"/>
      </w:pPr>
    </w:p>
    <w:p w:rsidR="00000000" w:rsidRPr="00B05A0B" w:rsidP="00B05A0B">
      <w:pPr>
        <w:pStyle w:val="AllowPageBreak"/>
      </w:pPr>
    </w:p>
    <w:p w:rsidR="00000000" w:rsidRPr="00B05A0B" w:rsidP="00B05A0B">
      <w:pPr>
        <w:pStyle w:val="Heading1"/>
      </w:pPr>
      <w:bookmarkStart w:id="9" w:name="O_921196"/>
      <w:bookmarkEnd w:id="9"/>
      <w:r w:rsidRPr="00B05A0B">
        <w:t>Unit Mapping Information</w:t>
      </w:r>
    </w:p>
    <w:p w:rsidR="00000000" w:rsidRPr="00B05A0B" w:rsidP="00D719EB">
      <w:pPr>
        <w:pStyle w:val="BodyText"/>
      </w:pPr>
      <w:r w:rsidRPr="00B05A0B">
        <w:t>Release 1. Supersedes and is equivalent to MSS405020A Develop quick changeover procedures</w:t>
      </w:r>
    </w:p>
    <w:p w:rsidR="00000000" w:rsidRPr="00B05A0B" w:rsidP="00B05A0B">
      <w:pPr>
        <w:pStyle w:val="Heading1"/>
      </w:pPr>
      <w:bookmarkStart w:id="10" w:name="O_921189"/>
      <w:bookmarkEnd w:id="10"/>
      <w:r w:rsidRPr="00B05A0B">
        <w:t>Links</w:t>
      </w:r>
    </w:p>
    <w:p w:rsidR="00000000" w:rsidRPr="00B05A0B" w:rsidP="00D719EB">
      <w:pPr>
        <w:pStyle w:val="BodyText"/>
      </w:pPr>
      <w:r w:rsidRPr="00B05A0B">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B3425C">
        <w:rPr>
          <w:rStyle w:val="Hyperlink"/>
        </w:rPr>
        <w:t>https://vetnet.gov.au/Pages/TrainingDocs.aspx?q=5b04f318-804f-4dc0-9463-c3fb9a3fe998</w:t>
      </w:r>
      <w:r>
        <w:fldChar w:fldCharType="end"/>
      </w:r>
    </w:p>
    <w:p w:rsidR="00000000" w:rsidRPr="00B05A0B" w:rsidP="00D719EB">
      <w:pPr>
        <w:pStyle w:val="BodyText"/>
        <w:sectPr w:rsidSect="00B05A0B">
          <w:headerReference w:type="default" r:id="rId10"/>
          <w:footerReference w:type="default" r:id="rId11"/>
          <w:pgSz w:w="11908" w:h="16833"/>
          <w:pgMar w:top="1702" w:right="1418" w:bottom="1702" w:left="1418" w:header="992" w:footer="992" w:gutter="0"/>
          <w:cols w:space="720"/>
          <w:noEndnote/>
          <w:docGrid w:linePitch="299"/>
        </w:sectPr>
      </w:pPr>
    </w:p>
    <w:p w:rsidR="00000000" w:rsidRPr="00B05A0B" w:rsidP="00B05A0B">
      <w:pPr>
        <w:pStyle w:val="SuperHeading"/>
      </w:pPr>
      <w:r w:rsidRPr="00B05A0B">
        <w:t xml:space="preserve">Assessment Requirements for MSS405020 Develop quick changeover </w:t>
      </w:r>
      <w:r w:rsidRPr="00B05A0B">
        <w:t>procedures</w:t>
      </w:r>
    </w:p>
    <w:p w:rsidR="00000000" w:rsidRPr="00B05A0B" w:rsidP="00B05A0B">
      <w:pPr>
        <w:pStyle w:val="Heading1"/>
      </w:pPr>
      <w:bookmarkStart w:id="11" w:name="O_921191"/>
      <w:bookmarkEnd w:id="11"/>
      <w:r w:rsidRPr="00B05A0B">
        <w:t>Modification History</w:t>
      </w:r>
    </w:p>
    <w:p w:rsidR="00000000" w:rsidRPr="00B05A0B" w:rsidP="00D719EB">
      <w:pPr>
        <w:pStyle w:val="BodyText"/>
      </w:pPr>
      <w:r w:rsidRPr="00B05A0B">
        <w:t>Release 1. Supersedes and is equivalent to MSS405020A Develop quick changeover procedures</w:t>
      </w:r>
    </w:p>
    <w:p w:rsidR="00000000" w:rsidRPr="00B05A0B" w:rsidP="00B05A0B">
      <w:pPr>
        <w:pStyle w:val="Heading1"/>
      </w:pPr>
      <w:bookmarkStart w:id="12" w:name="O_921194"/>
      <w:bookmarkEnd w:id="12"/>
      <w:r w:rsidRPr="00B05A0B">
        <w:t>Performance Evidence</w:t>
      </w:r>
    </w:p>
    <w:p w:rsidR="00000000" w:rsidRPr="00B05A0B" w:rsidP="00D719EB">
      <w:pPr>
        <w:pStyle w:val="BodyText"/>
      </w:pPr>
      <w:r w:rsidRPr="00B05A0B">
        <w:t>Evidence required to demonstrate competence in this unit must be relevant to and satisfy the requirements of the elements and performance criteria and include the ability, for one (1) or more quick changeover procedures, to:</w:t>
      </w:r>
    </w:p>
    <w:p w:rsidR="00000000" w:rsidRPr="00B05A0B" w:rsidP="00B05A0B">
      <w:pPr>
        <w:pStyle w:val="ListBullet"/>
      </w:pPr>
      <w:r w:rsidRPr="00B05A0B">
        <w:t>observe and analyse steps in a</w:t>
      </w:r>
      <w:r w:rsidRPr="00B05A0B">
        <w:t>n existing changeover</w:t>
      </w:r>
    </w:p>
    <w:p w:rsidR="00000000" w:rsidRPr="00B05A0B" w:rsidP="00B05A0B">
      <w:pPr>
        <w:pStyle w:val="ListBullet"/>
      </w:pPr>
      <w:r w:rsidRPr="00B05A0B">
        <w:t>manage risks in adjusting changeover procedures</w:t>
      </w:r>
    </w:p>
    <w:p w:rsidR="00000000" w:rsidRPr="00B05A0B" w:rsidP="00B05A0B">
      <w:pPr>
        <w:pStyle w:val="ListBullet"/>
      </w:pPr>
      <w:r w:rsidRPr="00B05A0B">
        <w:t>develop changeover adjustments that deliver the greatest overall benefit</w:t>
      </w:r>
    </w:p>
    <w:p w:rsidR="00000000" w:rsidRPr="00B05A0B" w:rsidP="00B05A0B">
      <w:pPr>
        <w:pStyle w:val="ListBullet"/>
      </w:pPr>
      <w:r w:rsidRPr="00B05A0B">
        <w:t>supervise changeover procedure trials.</w:t>
      </w:r>
    </w:p>
    <w:p w:rsidR="00000000" w:rsidRPr="00B05A0B" w:rsidP="00B05A0B">
      <w:pPr>
        <w:pStyle w:val="AllowPageBreak"/>
      </w:pPr>
    </w:p>
    <w:p w:rsidR="00000000" w:rsidRPr="00B05A0B" w:rsidP="00B05A0B">
      <w:pPr>
        <w:pStyle w:val="Heading1"/>
      </w:pPr>
      <w:bookmarkStart w:id="13" w:name="O_921193"/>
      <w:bookmarkEnd w:id="13"/>
      <w:r w:rsidRPr="00B05A0B">
        <w:t>Knowledge Evidence</w:t>
      </w:r>
    </w:p>
    <w:p w:rsidR="00000000" w:rsidRPr="00B05A0B" w:rsidP="00D719EB">
      <w:pPr>
        <w:pStyle w:val="BodyText"/>
      </w:pPr>
      <w:r w:rsidRPr="00B05A0B">
        <w:t>Must provide evidence that demonstrate</w:t>
      </w:r>
      <w:r w:rsidRPr="00B05A0B">
        <w:t>s sufficient knowledge to interact with relevant personnel and be able to develop/improve quick changeover procedures, including knowledge of:</w:t>
      </w:r>
    </w:p>
    <w:p w:rsidR="00000000" w:rsidRPr="00B05A0B" w:rsidP="00B05A0B">
      <w:pPr>
        <w:pStyle w:val="ListBullet"/>
      </w:pPr>
      <w:r w:rsidRPr="00B05A0B">
        <w:t>principles of quick changeover</w:t>
      </w:r>
    </w:p>
    <w:p w:rsidR="00000000" w:rsidRPr="00B05A0B" w:rsidP="00B05A0B">
      <w:pPr>
        <w:pStyle w:val="ListBullet"/>
      </w:pPr>
      <w:r w:rsidRPr="00B05A0B">
        <w:t>equipment and operating environment of activities subject to quick changeover</w:t>
      </w:r>
    </w:p>
    <w:p w:rsidR="00000000" w:rsidRPr="00B05A0B" w:rsidP="00B05A0B">
      <w:pPr>
        <w:pStyle w:val="ListBullet"/>
      </w:pPr>
      <w:r w:rsidRPr="00B05A0B">
        <w:t xml:space="preserve">regulatory and commercial obligations and risk environment for operations subject to quick changeover analysis </w:t>
      </w:r>
    </w:p>
    <w:p w:rsidR="00000000" w:rsidRPr="00B05A0B" w:rsidP="00B05A0B">
      <w:pPr>
        <w:pStyle w:val="ListBullet"/>
      </w:pPr>
      <w:r w:rsidRPr="00B05A0B">
        <w:t>safe movement and other relevant work health and safety (WHS) principles</w:t>
      </w:r>
    </w:p>
    <w:p w:rsidR="00000000" w:rsidRPr="00B05A0B" w:rsidP="00B05A0B">
      <w:pPr>
        <w:pStyle w:val="ListBullet"/>
      </w:pPr>
      <w:r w:rsidRPr="00B05A0B">
        <w:t>relevant procedures</w:t>
      </w:r>
    </w:p>
    <w:p w:rsidR="00000000" w:rsidRPr="00B05A0B" w:rsidP="00B05A0B">
      <w:pPr>
        <w:pStyle w:val="ListBullet"/>
      </w:pPr>
      <w:r w:rsidRPr="00B05A0B">
        <w:t>purposes/requirements of changeover</w:t>
      </w:r>
    </w:p>
    <w:p w:rsidR="00000000" w:rsidRPr="00B05A0B" w:rsidP="00B05A0B">
      <w:pPr>
        <w:pStyle w:val="ListBullet"/>
      </w:pPr>
      <w:r w:rsidRPr="00B05A0B">
        <w:t>sourcing of res</w:t>
      </w:r>
      <w:r w:rsidRPr="00B05A0B">
        <w:t>ources</w:t>
      </w:r>
    </w:p>
    <w:p w:rsidR="00000000" w:rsidRPr="00B05A0B" w:rsidP="00B05A0B">
      <w:pPr>
        <w:pStyle w:val="ListBullet"/>
      </w:pPr>
      <w:r w:rsidRPr="00B05A0B">
        <w:t>trialling procedures.</w:t>
      </w:r>
    </w:p>
    <w:p w:rsidR="00000000" w:rsidRPr="00B05A0B" w:rsidP="00B05A0B">
      <w:pPr>
        <w:pStyle w:val="AllowPageBreak"/>
      </w:pPr>
    </w:p>
    <w:p w:rsidR="00000000" w:rsidRPr="00B05A0B" w:rsidP="00B05A0B">
      <w:pPr>
        <w:pStyle w:val="Heading1"/>
      </w:pPr>
      <w:bookmarkStart w:id="14" w:name="O_921192"/>
      <w:bookmarkEnd w:id="14"/>
      <w:r w:rsidRPr="00B05A0B">
        <w:t>Assessment Conditions</w:t>
      </w:r>
    </w:p>
    <w:p w:rsidR="00000000" w:rsidRPr="00B05A0B" w:rsidP="00B05A0B">
      <w:pPr>
        <w:pStyle w:val="ListBullet"/>
      </w:pPr>
      <w:r w:rsidRPr="00B05A0B">
        <w:t xml:space="preserve">The unit should be assessed holistically and the judgement of competence shall be based on a holistic assessment of the evidence. </w:t>
      </w:r>
    </w:p>
    <w:p w:rsidR="00000000" w:rsidRPr="00B05A0B" w:rsidP="00B05A0B">
      <w:pPr>
        <w:pStyle w:val="ListBullet"/>
      </w:pPr>
      <w:r w:rsidRPr="00B05A0B">
        <w:t>The collection of performance evidence is best done from</w:t>
      </w:r>
      <w:r w:rsidRPr="00B05A0B">
        <w:t xml:space="preserve"> a report and/or folio of evidence drawn from:</w:t>
      </w:r>
    </w:p>
    <w:p w:rsidR="00000000" w:rsidRPr="00B05A0B" w:rsidP="00B05A0B">
      <w:pPr>
        <w:pStyle w:val="ListBullet2"/>
      </w:pPr>
      <w:r w:rsidRPr="00B05A0B">
        <w:t>a single project which provides sufficient evidence of the requirements of all the elements and performance criteria</w:t>
      </w:r>
    </w:p>
    <w:p w:rsidR="00000000" w:rsidRPr="00B05A0B" w:rsidP="00B05A0B">
      <w:pPr>
        <w:pStyle w:val="ListBullet2"/>
      </w:pPr>
      <w:r w:rsidRPr="00B05A0B">
        <w:t>multiple smaller projects which together provide sufficient evidence of the requirements of</w:t>
      </w:r>
      <w:r w:rsidRPr="00B05A0B">
        <w:t xml:space="preserve"> all the elements and performance criteria.</w:t>
      </w:r>
    </w:p>
    <w:p w:rsidR="00000000" w:rsidRPr="00B05A0B" w:rsidP="00B05A0B">
      <w:pPr>
        <w:pStyle w:val="ListBullet"/>
      </w:pPr>
      <w:r w:rsidRPr="00B05A0B">
        <w:t>A third-party report, or similar, may be needed to testify to the work done by the individual, particularly when the project has been done as part of a project team.</w:t>
      </w:r>
    </w:p>
    <w:p w:rsidR="00000000" w:rsidRPr="00B05A0B" w:rsidP="00B05A0B">
      <w:pPr>
        <w:pStyle w:val="ListBullet"/>
      </w:pPr>
      <w:r w:rsidRPr="00B05A0B">
        <w:t xml:space="preserve">Assessment should use the actual developing/improving of changeover procedures in an operational workplace. </w:t>
      </w:r>
    </w:p>
    <w:p w:rsidR="00000000" w:rsidRPr="00B05A0B" w:rsidP="00B05A0B">
      <w:pPr>
        <w:pStyle w:val="ListBullet"/>
      </w:pPr>
      <w:r w:rsidRPr="00B05A0B">
        <w:t>Knowledge evidence may be collected concurrently with performance evidence or through an independent process such as workbooks, written assessments</w:t>
      </w:r>
      <w:r w:rsidRPr="00B05A0B">
        <w:t xml:space="preserve"> or interviews (provided a record is kept).</w:t>
      </w:r>
    </w:p>
    <w:p w:rsidR="00000000" w:rsidRPr="00B05A0B" w:rsidP="00B05A0B">
      <w:pPr>
        <w:pStyle w:val="ListBullet"/>
      </w:pPr>
      <w:r w:rsidRPr="00B05A0B">
        <w:t>Assessment processes and techniques must be appropriate to the language, literacy and numeracy requirements of the work being performed and the needs of the candidate.</w:t>
      </w:r>
    </w:p>
    <w:p w:rsidR="00000000" w:rsidRPr="00B05A0B" w:rsidP="00B05A0B">
      <w:pPr>
        <w:pStyle w:val="ListBullet"/>
      </w:pPr>
      <w:r w:rsidRPr="00B05A0B">
        <w:t>Conditions for assessment must include acces</w:t>
      </w:r>
      <w:r w:rsidRPr="00B05A0B">
        <w:t>s to all tools, equipment, materials and documentation required, including relevant workplace procedures, product and manufacturing specifications associated with this unit.</w:t>
      </w:r>
    </w:p>
    <w:p w:rsidR="00000000" w:rsidRPr="00B05A0B" w:rsidP="00B05A0B">
      <w:pPr>
        <w:pStyle w:val="ListBullet"/>
      </w:pPr>
      <w:r w:rsidRPr="00B05A0B">
        <w:t>Foundation skills are integral to competent performance of the unit and should not</w:t>
      </w:r>
      <w:r w:rsidRPr="00B05A0B">
        <w:t xml:space="preserve"> be assessed separately.</w:t>
      </w:r>
    </w:p>
    <w:p w:rsidR="00000000" w:rsidRPr="00B05A0B" w:rsidP="00B05A0B">
      <w:pPr>
        <w:pStyle w:val="ListBullet"/>
      </w:pPr>
      <w:r w:rsidRPr="00B05A0B">
        <w:t xml:space="preserve">Assessors must satisfy the assessor competency requirements that are in place at the time of the assessment as set by the VET regulator.  </w:t>
      </w:r>
    </w:p>
    <w:p w:rsidR="00000000" w:rsidRPr="00B05A0B" w:rsidP="00B05A0B">
      <w:pPr>
        <w:pStyle w:val="ListBullet"/>
      </w:pPr>
      <w:r w:rsidRPr="00B05A0B">
        <w:t>The assessor must demonstrate both technical competency and currency.</w:t>
      </w:r>
    </w:p>
    <w:p w:rsidR="00000000" w:rsidRPr="00B05A0B" w:rsidP="00B05A0B">
      <w:pPr>
        <w:pStyle w:val="ListBullet"/>
      </w:pPr>
      <w:r w:rsidRPr="00B05A0B">
        <w:t>Technical competence c</w:t>
      </w:r>
      <w:r w:rsidRPr="00B05A0B">
        <w:t>an be demonstrated through:</w:t>
      </w:r>
    </w:p>
    <w:p w:rsidR="00000000" w:rsidRPr="00B05A0B" w:rsidP="00B05A0B">
      <w:pPr>
        <w:pStyle w:val="ListBullet2"/>
      </w:pPr>
      <w:r w:rsidRPr="00B05A0B">
        <w:t>relevant VET or other qualification/Statement of Attainment AND/OR</w:t>
      </w:r>
    </w:p>
    <w:p w:rsidR="00000000" w:rsidRPr="00B05A0B" w:rsidP="00B05A0B">
      <w:pPr>
        <w:pStyle w:val="ListBullet2"/>
      </w:pPr>
      <w:r w:rsidRPr="00B05A0B">
        <w:t xml:space="preserve">relevant workplace experience </w:t>
      </w:r>
    </w:p>
    <w:p w:rsidR="00000000" w:rsidRPr="00B05A0B" w:rsidP="00B05A0B">
      <w:pPr>
        <w:pStyle w:val="ListBullet"/>
      </w:pPr>
      <w:r w:rsidRPr="00B05A0B">
        <w:t>Currency can be demonstrated through:</w:t>
      </w:r>
    </w:p>
    <w:p w:rsidR="00000000" w:rsidRPr="00B05A0B" w:rsidP="00B05A0B">
      <w:pPr>
        <w:pStyle w:val="ListBullet2"/>
      </w:pPr>
      <w:r w:rsidRPr="00B05A0B">
        <w:t>performing the competency being assessed as part of current employment OR</w:t>
      </w:r>
    </w:p>
    <w:p w:rsidR="00000000" w:rsidRPr="00B05A0B" w:rsidP="00B05A0B">
      <w:pPr>
        <w:pStyle w:val="ListBullet2"/>
      </w:pPr>
      <w:r w:rsidRPr="00B05A0B">
        <w:t>having consulted with an organisation providing relevant environmental monitoring, management or technology services about performing the competency being assessed within the last twelve months.</w:t>
      </w:r>
    </w:p>
    <w:p w:rsidR="00000000" w:rsidRPr="00B05A0B" w:rsidP="00B05A0B">
      <w:pPr>
        <w:pStyle w:val="AllowPageBreak"/>
      </w:pPr>
    </w:p>
    <w:p w:rsidR="00000000" w:rsidRPr="00B05A0B" w:rsidP="00B05A0B">
      <w:pPr>
        <w:pStyle w:val="Heading1"/>
      </w:pPr>
      <w:bookmarkStart w:id="15" w:name="O_921190"/>
      <w:bookmarkEnd w:id="15"/>
      <w:r w:rsidRPr="00B05A0B">
        <w:t>Links</w:t>
      </w:r>
    </w:p>
    <w:p w:rsidR="00000000" w:rsidRPr="00B05A0B" w:rsidP="00D719EB">
      <w:pPr>
        <w:pStyle w:val="BodyText"/>
      </w:pPr>
      <w:r w:rsidRPr="00B05A0B">
        <w:t>Companion Volume implementation guides</w:t>
      </w:r>
      <w:r w:rsidRPr="00B05A0B">
        <w:t xml:space="preserve"> are found in VETNet - </w:t>
      </w:r>
      <w:r>
        <w:fldChar w:fldCharType="begin"/>
      </w:r>
      <w:r>
        <w:instrText xml:space="preserve"> HYPERLINK "https://vetnet.gov.au/Pages/TrainingDocs.aspx?q=5b04f318-804f-4dc0-9463-c3fb9a3fe998" </w:instrText>
      </w:r>
      <w:r>
        <w:fldChar w:fldCharType="separate"/>
      </w:r>
      <w:r w:rsidRPr="00B3425C">
        <w:rPr>
          <w:rStyle w:val="Hyperlink"/>
        </w:rPr>
        <w:t>https://vetnet.gov.au/Pages/TrainingDocs.aspx?q=5b04f318-804f-4dc0-9463-c3fb9a3fe998</w:t>
      </w:r>
      <w:r>
        <w:fldChar w:fldCharType="end"/>
      </w:r>
    </w:p>
    <w:p w:rsidR="00000000" w:rsidRPr="00B05A0B" w:rsidP="00B05A0B"/>
    <w:sectPr w:rsidSect="00B05A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A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A0B" w:rsidRPr="00D719EB" w:rsidP="00D719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A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9EB" w:rsidP="00B05A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719EB" w:rsidP="00B05A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719EB" w:rsidP="00B05A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A0B" w:rsidP="00B05A0B">
    <w:pPr>
      <w:pStyle w:val="Footer"/>
      <w:framePr w:wrap="around"/>
    </w:pPr>
    <w:r>
      <w:fldChar w:fldCharType="begin"/>
    </w:r>
    <w:r>
      <w:instrText xml:space="preserve"> DOCPROPERTY  Subject  \* MERGEFORMAT </w:instrText>
    </w:r>
    <w:r>
      <w:fldChar w:fldCharType="separate"/>
    </w:r>
    <w:r w:rsidR="00D719EB">
      <w:t>Approved</w:t>
    </w:r>
    <w:r w:rsidR="00D719EB">
      <w:fldChar w:fldCharType="end"/>
    </w:r>
    <w:r>
      <w:tab/>
      <w:t xml:space="preserve">Page </w:t>
    </w:r>
    <w:r>
      <w:fldChar w:fldCharType="begin"/>
    </w:r>
    <w:r>
      <w:instrText xml:space="preserve"> PAGE  \* Arabic  \* MERGEFORMAT </w:instrText>
    </w:r>
    <w:r>
      <w:fldChar w:fldCharType="separate"/>
    </w:r>
    <w:r w:rsidR="00D719E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19EB">
      <w:rPr>
        <w:noProof/>
      </w:rPr>
      <w:t>5</w:t>
    </w:r>
    <w:r>
      <w:rPr>
        <w:noProof/>
      </w:rPr>
      <w:fldChar w:fldCharType="end"/>
    </w:r>
  </w:p>
  <w:p w:rsidR="00B05A0B" w:rsidP="00B05A0B">
    <w:pPr>
      <w:pStyle w:val="Footer"/>
      <w:framePr w:wrap="around"/>
    </w:pPr>
    <w:r>
      <w:t xml:space="preserve">© Commonwealth of Australia, </w:t>
    </w:r>
    <w:r>
      <w:fldChar w:fldCharType="begin"/>
    </w:r>
    <w:r>
      <w:instrText xml:space="preserve"> DATE  \@ "yyyy"  \* MERGEFORMAT </w:instrText>
    </w:r>
    <w:r>
      <w:fldChar w:fldCharType="separate"/>
    </w:r>
    <w:r w:rsidR="00D719EB">
      <w:rPr>
        <w:noProof/>
      </w:rPr>
      <w:t>2025</w:t>
    </w:r>
    <w:r>
      <w:fldChar w:fldCharType="end"/>
    </w:r>
    <w:r>
      <w:tab/>
    </w:r>
    <w:r>
      <w:fldChar w:fldCharType="begin"/>
    </w:r>
    <w:r>
      <w:instrText xml:space="preserve"> DOCPROPERTY  Author  \* MERGEFORMAT </w:instrText>
    </w:r>
    <w:r>
      <w:fldChar w:fldCharType="separate"/>
    </w:r>
    <w:r w:rsidR="00D719EB">
      <w:t>Manufacturing Industry Skills Alliance</w:t>
    </w:r>
    <w:r w:rsidR="00D719EB">
      <w:fldChar w:fldCharType="end"/>
    </w:r>
  </w:p>
  <w:p w:rsidR="00B05A0B" w:rsidP="00B05A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A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9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5A0B" w:rsidRPr="00D719EB" w:rsidP="00D719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A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9EB" w:rsidRPr="002D2AF8" w:rsidP="00B05A0B">
    <w:pPr>
      <w:pStyle w:val="Header"/>
      <w:framePr w:wrap="around"/>
    </w:pPr>
    <w:r>
      <w:fldChar w:fldCharType="begin"/>
    </w:r>
    <w:r>
      <w:instrText xml:space="preserve"> TITLE   \* MERGEFORMAT </w:instrText>
    </w:r>
    <w:r>
      <w:fldChar w:fldCharType="separate"/>
    </w:r>
    <w:r>
      <w:t>MSS405020 Develop quick changeover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19EB" w:rsidP="00B05A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A0B" w:rsidRPr="002D2AF8" w:rsidP="00B05A0B">
    <w:pPr>
      <w:pStyle w:val="Header"/>
      <w:framePr w:wrap="around"/>
    </w:pPr>
    <w:r>
      <w:fldChar w:fldCharType="begin"/>
    </w:r>
    <w:r>
      <w:instrText xml:space="preserve"> TITLE   \* MERGEFORMAT </w:instrText>
    </w:r>
    <w:r>
      <w:fldChar w:fldCharType="separate"/>
    </w:r>
    <w:r w:rsidR="00D719EB">
      <w:t>MSS405020 Develop quick changeover procedures</w:t>
    </w:r>
    <w:r w:rsidR="00D719EB">
      <w:fldChar w:fldCharType="end"/>
    </w:r>
    <w:r>
      <w:tab/>
      <w:t xml:space="preserve">Date this document was generated: </w:t>
    </w:r>
    <w:r>
      <w:fldChar w:fldCharType="begin"/>
    </w:r>
    <w:r>
      <w:instrText xml:space="preserve"> CREATEDATE  \@ "d MMMM yyyy"  \* MERGEFORMAT </w:instrText>
    </w:r>
    <w:r>
      <w:fldChar w:fldCharType="separate"/>
    </w:r>
    <w:r w:rsidR="00D719EB">
      <w:rPr>
        <w:noProof/>
      </w:rPr>
      <w:t>2 March 2025</w:t>
    </w:r>
    <w:r>
      <w:fldChar w:fldCharType="end"/>
    </w:r>
  </w:p>
  <w:p w:rsidR="00B05A0B" w:rsidP="00B05A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92ED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0400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88A2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A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5A0B"/>
    <w:pPr>
      <w:spacing w:before="360" w:after="60"/>
      <w:outlineLvl w:val="0"/>
    </w:pPr>
    <w:rPr>
      <w:sz w:val="32"/>
    </w:rPr>
  </w:style>
  <w:style w:type="paragraph" w:styleId="Heading2">
    <w:name w:val="heading 2"/>
    <w:basedOn w:val="HeadingBase"/>
    <w:next w:val="BodyText"/>
    <w:link w:val="Heading2Char"/>
    <w:qFormat/>
    <w:rsid w:val="00B05A0B"/>
    <w:pPr>
      <w:keepLines/>
      <w:spacing w:before="240" w:after="120"/>
      <w:outlineLvl w:val="1"/>
    </w:pPr>
    <w:rPr>
      <w:sz w:val="28"/>
      <w:szCs w:val="40"/>
    </w:rPr>
  </w:style>
  <w:style w:type="paragraph" w:styleId="Heading3">
    <w:name w:val="heading 3"/>
    <w:basedOn w:val="HeadingBase"/>
    <w:next w:val="BodyText"/>
    <w:link w:val="Heading3Char"/>
    <w:qFormat/>
    <w:rsid w:val="00B05A0B"/>
    <w:pPr>
      <w:spacing w:before="180" w:after="120"/>
      <w:outlineLvl w:val="2"/>
    </w:pPr>
    <w:rPr>
      <w:spacing w:val="-10"/>
      <w:kern w:val="32"/>
    </w:rPr>
  </w:style>
  <w:style w:type="paragraph" w:styleId="Heading4">
    <w:name w:val="heading 4"/>
    <w:basedOn w:val="HeadingBase"/>
    <w:next w:val="BodyText"/>
    <w:link w:val="Heading4Char"/>
    <w:qFormat/>
    <w:rsid w:val="00B05A0B"/>
    <w:pPr>
      <w:spacing w:before="160" w:after="120"/>
      <w:outlineLvl w:val="3"/>
    </w:pPr>
    <w:rPr>
      <w:sz w:val="22"/>
    </w:rPr>
  </w:style>
  <w:style w:type="paragraph" w:styleId="Heading5">
    <w:name w:val="heading 5"/>
    <w:basedOn w:val="HeadingBase"/>
    <w:next w:val="Normal"/>
    <w:link w:val="Heading5Char"/>
    <w:qFormat/>
    <w:rsid w:val="00B05A0B"/>
    <w:pPr>
      <w:spacing w:before="80"/>
      <w:outlineLvl w:val="4"/>
    </w:pPr>
    <w:rPr>
      <w:color w:val="918585"/>
      <w:sz w:val="20"/>
    </w:rPr>
  </w:style>
  <w:style w:type="paragraph" w:styleId="Heading6">
    <w:name w:val="heading 6"/>
    <w:basedOn w:val="HeadingBase"/>
    <w:next w:val="Normal"/>
    <w:link w:val="Heading6Char"/>
    <w:qFormat/>
    <w:rsid w:val="00B05A0B"/>
    <w:pPr>
      <w:spacing w:before="60"/>
      <w:outlineLvl w:val="5"/>
    </w:pPr>
    <w:rPr>
      <w:color w:val="918585"/>
      <w:sz w:val="20"/>
    </w:rPr>
  </w:style>
  <w:style w:type="paragraph" w:styleId="Heading7">
    <w:name w:val="heading 7"/>
    <w:basedOn w:val="Normal"/>
    <w:next w:val="Normal"/>
    <w:link w:val="Heading7Char"/>
    <w:qFormat/>
    <w:rsid w:val="00B05A0B"/>
    <w:pPr>
      <w:ind w:left="720"/>
      <w:outlineLvl w:val="6"/>
    </w:pPr>
    <w:rPr>
      <w:i/>
    </w:rPr>
  </w:style>
  <w:style w:type="paragraph" w:styleId="Heading8">
    <w:name w:val="heading 8"/>
    <w:basedOn w:val="Normal"/>
    <w:next w:val="Normal"/>
    <w:link w:val="Heading8Char"/>
    <w:qFormat/>
    <w:rsid w:val="00B05A0B"/>
    <w:pPr>
      <w:ind w:left="720"/>
      <w:outlineLvl w:val="7"/>
    </w:pPr>
    <w:rPr>
      <w:i/>
    </w:rPr>
  </w:style>
  <w:style w:type="paragraph" w:styleId="Heading9">
    <w:name w:val="heading 9"/>
    <w:basedOn w:val="Normal"/>
    <w:next w:val="Normal"/>
    <w:link w:val="Heading9Char"/>
    <w:qFormat/>
    <w:rsid w:val="00B05A0B"/>
    <w:pPr>
      <w:ind w:left="720"/>
      <w:outlineLvl w:val="8"/>
    </w:pPr>
    <w:rPr>
      <w:i/>
    </w:rPr>
  </w:style>
  <w:style w:type="character" w:default="1" w:styleId="DefaultParagraphFont">
    <w:name w:val="Default Paragraph Font"/>
    <w:uiPriority w:val="1"/>
    <w:unhideWhenUsed/>
    <w:rsid w:val="00B05A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5A0B"/>
  </w:style>
  <w:style w:type="character" w:customStyle="1" w:styleId="Heading1Char">
    <w:name w:val="Heading 1 Char"/>
    <w:basedOn w:val="DefaultParagraphFont"/>
    <w:link w:val="Heading1"/>
    <w:rsid w:val="00B05A0B"/>
    <w:rPr>
      <w:rFonts w:ascii="Times New Roman" w:eastAsia="Times New Roman" w:hAnsi="Times New Roman" w:cs="Times New Roman"/>
      <w:b/>
      <w:sz w:val="32"/>
      <w:szCs w:val="20"/>
      <w:lang w:eastAsia="en-US"/>
    </w:rPr>
  </w:style>
  <w:style w:type="paragraph" w:styleId="BodyText">
    <w:name w:val="Body Text"/>
    <w:basedOn w:val="Normal"/>
    <w:link w:val="BodyTextChar"/>
    <w:rsid w:val="00B05A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5A0B"/>
    <w:rPr>
      <w:rFonts w:ascii="Times New Roman" w:eastAsia="Times New Roman" w:hAnsi="Times New Roman" w:cs="Times New Roman"/>
      <w:sz w:val="24"/>
      <w:lang w:eastAsia="en-US"/>
    </w:rPr>
  </w:style>
  <w:style w:type="paragraph" w:styleId="ListBullet">
    <w:name w:val="List Bullet"/>
    <w:basedOn w:val="List"/>
    <w:rsid w:val="00B05A0B"/>
    <w:pPr>
      <w:numPr>
        <w:numId w:val="12"/>
      </w:numPr>
      <w:tabs>
        <w:tab w:val="clear" w:pos="340"/>
      </w:tabs>
      <w:spacing w:before="40" w:after="40"/>
    </w:pPr>
  </w:style>
  <w:style w:type="character" w:customStyle="1" w:styleId="SpecialBold">
    <w:name w:val="Special Bold"/>
    <w:basedOn w:val="DefaultParagraphFont"/>
    <w:rsid w:val="00B05A0B"/>
    <w:rPr>
      <w:b/>
      <w:spacing w:val="0"/>
    </w:rPr>
  </w:style>
  <w:style w:type="paragraph" w:styleId="ListBullet2">
    <w:name w:val="List Bullet 2"/>
    <w:basedOn w:val="List2"/>
    <w:rsid w:val="00B05A0B"/>
    <w:pPr>
      <w:numPr>
        <w:numId w:val="13"/>
      </w:numPr>
      <w:tabs>
        <w:tab w:val="clear" w:pos="680"/>
      </w:tabs>
    </w:pPr>
  </w:style>
  <w:style w:type="paragraph" w:customStyle="1" w:styleId="SuperHeading">
    <w:name w:val="SuperHeading"/>
    <w:basedOn w:val="Normal"/>
    <w:rsid w:val="00B05A0B"/>
    <w:pPr>
      <w:spacing w:before="240" w:after="120"/>
      <w:outlineLvl w:val="0"/>
    </w:pPr>
    <w:rPr>
      <w:rFonts w:ascii="Times New Roman" w:hAnsi="Times New Roman"/>
      <w:b/>
      <w:sz w:val="32"/>
    </w:rPr>
  </w:style>
  <w:style w:type="paragraph" w:customStyle="1" w:styleId="AllowPageBreak">
    <w:name w:val="AllowPageBreak"/>
    <w:rsid w:val="00B05A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5A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5A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5A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5A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5A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5A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5A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5A0B"/>
    <w:rPr>
      <w:rFonts w:ascii="Courier New" w:eastAsia="Times New Roman" w:hAnsi="Courier New" w:cs="Times New Roman"/>
      <w:i/>
      <w:szCs w:val="20"/>
      <w:lang w:eastAsia="en-US"/>
    </w:rPr>
  </w:style>
  <w:style w:type="paragraph" w:customStyle="1" w:styleId="HeadingBase">
    <w:name w:val="Heading Base"/>
    <w:rsid w:val="00B05A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5A0B"/>
    <w:pPr>
      <w:tabs>
        <w:tab w:val="right" w:leader="dot" w:pos="9072"/>
      </w:tabs>
      <w:ind w:left="567"/>
    </w:pPr>
    <w:rPr>
      <w:szCs w:val="22"/>
    </w:rPr>
  </w:style>
  <w:style w:type="paragraph" w:customStyle="1" w:styleId="TOCBase">
    <w:name w:val="TOC Base"/>
    <w:rsid w:val="00B05A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5A0B"/>
    <w:pPr>
      <w:tabs>
        <w:tab w:val="right" w:leader="dot" w:pos="9072"/>
      </w:tabs>
      <w:spacing w:before="40" w:after="40"/>
      <w:ind w:left="284"/>
    </w:pPr>
    <w:rPr>
      <w:rFonts w:ascii="Times New Roman" w:hAnsi="Times New Roman"/>
    </w:rPr>
  </w:style>
  <w:style w:type="paragraph" w:styleId="TOC1">
    <w:name w:val="toc 1"/>
    <w:basedOn w:val="TOCBase"/>
    <w:next w:val="Normal"/>
    <w:rsid w:val="00B05A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5A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5A0B"/>
    <w:rPr>
      <w:rFonts w:ascii="Times New Roman" w:eastAsia="Times New Roman" w:hAnsi="Times New Roman" w:cs="Times New Roman"/>
      <w:sz w:val="16"/>
      <w:lang w:eastAsia="en-US"/>
    </w:rPr>
  </w:style>
  <w:style w:type="paragraph" w:styleId="Title">
    <w:name w:val="Title"/>
    <w:basedOn w:val="HeadingBase"/>
    <w:link w:val="TitleChar"/>
    <w:qFormat/>
    <w:rsid w:val="00B05A0B"/>
    <w:pPr>
      <w:spacing w:before="5040"/>
      <w:jc w:val="center"/>
    </w:pPr>
    <w:rPr>
      <w:sz w:val="48"/>
      <w:szCs w:val="72"/>
      <w:lang w:val="en-US"/>
    </w:rPr>
  </w:style>
  <w:style w:type="character" w:customStyle="1" w:styleId="TitleChar">
    <w:name w:val="Title Char"/>
    <w:basedOn w:val="DefaultParagraphFont"/>
    <w:link w:val="Title"/>
    <w:rsid w:val="00B05A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5A0B"/>
    <w:pPr>
      <w:tabs>
        <w:tab w:val="left" w:pos="3600"/>
        <w:tab w:val="left" w:pos="3958"/>
      </w:tabs>
    </w:pPr>
  </w:style>
  <w:style w:type="paragraph" w:styleId="List">
    <w:name w:val="List"/>
    <w:basedOn w:val="BodyText"/>
    <w:next w:val="BodyText"/>
    <w:rsid w:val="00B05A0B"/>
    <w:pPr>
      <w:tabs>
        <w:tab w:val="left" w:pos="340"/>
      </w:tabs>
      <w:spacing w:before="60" w:after="60"/>
      <w:ind w:left="340" w:hanging="340"/>
    </w:pPr>
  </w:style>
  <w:style w:type="paragraph" w:customStyle="1" w:styleId="Note">
    <w:name w:val="Note"/>
    <w:basedOn w:val="BodyText"/>
    <w:rsid w:val="00B05A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5A0B"/>
    <w:pPr>
      <w:framePr w:wrap="auto" w:hAnchor="text" w:y="6049"/>
    </w:pPr>
    <w:rPr>
      <w:color w:val="000000"/>
      <w:sz w:val="40"/>
    </w:rPr>
  </w:style>
  <w:style w:type="paragraph" w:customStyle="1" w:styleId="TOCTitle">
    <w:name w:val="TOCTitle"/>
    <w:basedOn w:val="Heading1"/>
    <w:rsid w:val="00B05A0B"/>
    <w:pPr>
      <w:spacing w:after="240"/>
      <w:jc w:val="center"/>
      <w:outlineLvl w:val="9"/>
    </w:pPr>
    <w:rPr>
      <w:caps/>
    </w:rPr>
  </w:style>
  <w:style w:type="paragraph" w:customStyle="1" w:styleId="Version">
    <w:name w:val="Version"/>
    <w:rsid w:val="00B05A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5A0B"/>
    <w:pPr>
      <w:keepNext w:val="0"/>
      <w:tabs>
        <w:tab w:val="right" w:pos="4176"/>
      </w:tabs>
      <w:ind w:left="198" w:hanging="198"/>
    </w:pPr>
    <w:rPr>
      <w:rFonts w:ascii="Garamond" w:hAnsi="Garamond"/>
    </w:rPr>
  </w:style>
  <w:style w:type="paragraph" w:styleId="IndexHeading">
    <w:name w:val="index heading"/>
    <w:basedOn w:val="Normal"/>
    <w:next w:val="Index1"/>
    <w:semiHidden/>
    <w:rsid w:val="00B05A0B"/>
    <w:pPr>
      <w:spacing w:before="120" w:after="120"/>
    </w:pPr>
    <w:rPr>
      <w:rFonts w:ascii="Arial" w:hAnsi="Arial"/>
      <w:b/>
      <w:color w:val="918585"/>
      <w:sz w:val="24"/>
    </w:rPr>
  </w:style>
  <w:style w:type="paragraph" w:styleId="Header">
    <w:name w:val="header"/>
    <w:basedOn w:val="Normal"/>
    <w:link w:val="HeaderChar"/>
    <w:rsid w:val="00B05A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5A0B"/>
    <w:rPr>
      <w:rFonts w:ascii="Times New Roman" w:eastAsia="Times New Roman" w:hAnsi="Times New Roman" w:cs="Times New Roman"/>
      <w:sz w:val="16"/>
      <w:szCs w:val="20"/>
      <w:lang w:val="en-GB" w:eastAsia="en-US"/>
    </w:rPr>
  </w:style>
  <w:style w:type="paragraph" w:customStyle="1" w:styleId="Chapter">
    <w:name w:val="Chapter"/>
    <w:basedOn w:val="Normal"/>
    <w:rsid w:val="00B05A0B"/>
    <w:pPr>
      <w:spacing w:before="240"/>
    </w:pPr>
    <w:rPr>
      <w:rFonts w:ascii="Times New Roman" w:hAnsi="Times New Roman"/>
      <w:smallCaps/>
      <w:spacing w:val="80"/>
      <w:sz w:val="28"/>
    </w:rPr>
  </w:style>
  <w:style w:type="paragraph" w:customStyle="1" w:styleId="InChapter">
    <w:name w:val="InChapter"/>
    <w:basedOn w:val="Heading3"/>
    <w:rsid w:val="00B05A0B"/>
    <w:pPr>
      <w:spacing w:after="240"/>
      <w:outlineLvl w:val="9"/>
    </w:pPr>
    <w:rPr>
      <w:noProof/>
    </w:rPr>
  </w:style>
  <w:style w:type="paragraph" w:styleId="Index2">
    <w:name w:val="index 2"/>
    <w:basedOn w:val="Normal"/>
    <w:next w:val="Normal"/>
    <w:semiHidden/>
    <w:rsid w:val="00B05A0B"/>
    <w:pPr>
      <w:tabs>
        <w:tab w:val="right" w:pos="4176"/>
      </w:tabs>
      <w:ind w:left="568" w:hanging="284"/>
    </w:pPr>
    <w:rPr>
      <w:rFonts w:ascii="Garamond" w:hAnsi="Garamond"/>
    </w:rPr>
  </w:style>
  <w:style w:type="paragraph" w:customStyle="1" w:styleId="Byline">
    <w:name w:val="Byline"/>
    <w:rsid w:val="00B05A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5A0B"/>
    <w:pPr>
      <w:tabs>
        <w:tab w:val="clear" w:pos="3600"/>
        <w:tab w:val="clear" w:pos="3958"/>
      </w:tabs>
      <w:jc w:val="right"/>
    </w:pPr>
  </w:style>
  <w:style w:type="character" w:styleId="Emphasis">
    <w:name w:val="Emphasis"/>
    <w:basedOn w:val="DefaultParagraphFont"/>
    <w:qFormat/>
    <w:rsid w:val="00B05A0B"/>
    <w:rPr>
      <w:i/>
    </w:rPr>
  </w:style>
  <w:style w:type="paragraph" w:styleId="Caption">
    <w:name w:val="caption"/>
    <w:basedOn w:val="BodyText"/>
    <w:next w:val="Normal"/>
    <w:qFormat/>
    <w:rsid w:val="00B05A0B"/>
    <w:pPr>
      <w:framePr w:w="2268" w:hSpace="181" w:vSpace="181" w:wrap="around" w:vAnchor="text" w:hAnchor="page" w:x="1135" w:y="285" w:anchorLock="1"/>
    </w:pPr>
    <w:rPr>
      <w:i/>
    </w:rPr>
  </w:style>
  <w:style w:type="paragraph" w:customStyle="1" w:styleId="MiniTOCTitle">
    <w:name w:val="MiniTOCTitle"/>
    <w:basedOn w:val="Heading4"/>
    <w:rsid w:val="00B05A0B"/>
    <w:pPr>
      <w:spacing w:before="240"/>
      <w:outlineLvl w:val="9"/>
    </w:pPr>
    <w:rPr>
      <w:noProof/>
      <w:sz w:val="24"/>
    </w:rPr>
  </w:style>
  <w:style w:type="paragraph" w:customStyle="1" w:styleId="MiniTOCItem">
    <w:name w:val="MiniTOCItem"/>
    <w:basedOn w:val="ListBullet"/>
    <w:rsid w:val="00B05A0B"/>
    <w:pPr>
      <w:numPr>
        <w:numId w:val="0"/>
      </w:numPr>
      <w:tabs>
        <w:tab w:val="right" w:leader="dot" w:pos="6521"/>
      </w:tabs>
      <w:spacing w:before="0" w:after="0"/>
    </w:pPr>
  </w:style>
  <w:style w:type="paragraph" w:customStyle="1" w:styleId="TOFTitle">
    <w:name w:val="TOFTitle"/>
    <w:basedOn w:val="TOCTitle"/>
    <w:rsid w:val="00B05A0B"/>
  </w:style>
  <w:style w:type="paragraph" w:styleId="TableofFigures">
    <w:name w:val="table of figures"/>
    <w:basedOn w:val="Normal"/>
    <w:next w:val="Normal"/>
    <w:semiHidden/>
    <w:rsid w:val="00B05A0B"/>
    <w:pPr>
      <w:tabs>
        <w:tab w:val="right" w:leader="dot" w:pos="9072"/>
      </w:tabs>
      <w:ind w:left="970" w:hanging="403"/>
    </w:pPr>
    <w:rPr>
      <w:rFonts w:ascii="Times New Roman" w:hAnsi="Times New Roman"/>
      <w:b/>
    </w:rPr>
  </w:style>
  <w:style w:type="paragraph" w:styleId="ListNumber">
    <w:name w:val="List Number"/>
    <w:basedOn w:val="List"/>
    <w:rsid w:val="00B05A0B"/>
    <w:pPr>
      <w:numPr>
        <w:numId w:val="15"/>
      </w:numPr>
      <w:tabs>
        <w:tab w:val="clear" w:pos="340"/>
      </w:tabs>
    </w:pPr>
  </w:style>
  <w:style w:type="character" w:customStyle="1" w:styleId="WingdingSymbols">
    <w:name w:val="Wingding Symbols"/>
    <w:rsid w:val="00B05A0B"/>
    <w:rPr>
      <w:rFonts w:ascii="Wingdings" w:hAnsi="Wingdings"/>
    </w:rPr>
  </w:style>
  <w:style w:type="paragraph" w:customStyle="1" w:styleId="TableHeading">
    <w:name w:val="Table Heading"/>
    <w:basedOn w:val="HeadingBase"/>
    <w:rsid w:val="00B05A0B"/>
    <w:pPr>
      <w:keepLines/>
      <w:pBdr>
        <w:bottom w:val="single" w:sz="6" w:space="1" w:color="918585"/>
      </w:pBdr>
      <w:spacing w:before="240"/>
    </w:pPr>
  </w:style>
  <w:style w:type="character" w:customStyle="1" w:styleId="HotSpot">
    <w:name w:val="HotSpot"/>
    <w:rsid w:val="00B05A0B"/>
    <w:rPr>
      <w:color w:val="0033CC"/>
      <w:u w:val="none"/>
    </w:rPr>
  </w:style>
  <w:style w:type="paragraph" w:customStyle="1" w:styleId="BodyTextRight">
    <w:name w:val="Body Text Right"/>
    <w:basedOn w:val="BodyText"/>
    <w:rsid w:val="00B05A0B"/>
    <w:pPr>
      <w:spacing w:before="0" w:after="0"/>
      <w:jc w:val="right"/>
    </w:pPr>
  </w:style>
  <w:style w:type="paragraph" w:styleId="Index3">
    <w:name w:val="index 3"/>
    <w:basedOn w:val="ListNumber2"/>
    <w:next w:val="Normal"/>
    <w:semiHidden/>
    <w:rsid w:val="00B05A0B"/>
    <w:pPr>
      <w:numPr>
        <w:numId w:val="0"/>
      </w:numPr>
      <w:tabs>
        <w:tab w:val="right" w:leader="dot" w:pos="4176"/>
      </w:tabs>
    </w:pPr>
  </w:style>
  <w:style w:type="paragraph" w:styleId="ListNumber2">
    <w:name w:val="List Number 2"/>
    <w:basedOn w:val="List2"/>
    <w:rsid w:val="00B05A0B"/>
    <w:pPr>
      <w:numPr>
        <w:numId w:val="10"/>
      </w:numPr>
      <w:tabs>
        <w:tab w:val="clear" w:pos="1060"/>
      </w:tabs>
    </w:pPr>
  </w:style>
  <w:style w:type="paragraph" w:customStyle="1" w:styleId="MarginNote">
    <w:name w:val="Margin Note"/>
    <w:basedOn w:val="BodyText"/>
    <w:rsid w:val="00B05A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5A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5A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5A0B"/>
    <w:rPr>
      <w:sz w:val="32"/>
    </w:rPr>
  </w:style>
  <w:style w:type="paragraph" w:customStyle="1" w:styleId="HeadingProcedure">
    <w:name w:val="Heading Procedure"/>
    <w:basedOn w:val="HeadingBase"/>
    <w:next w:val="Normal"/>
    <w:rsid w:val="00B05A0B"/>
    <w:pPr>
      <w:tabs>
        <w:tab w:val="left" w:pos="0"/>
      </w:tabs>
      <w:spacing w:before="120" w:after="60"/>
    </w:pPr>
    <w:rPr>
      <w:i/>
      <w:color w:val="918585"/>
      <w:sz w:val="22"/>
    </w:rPr>
  </w:style>
  <w:style w:type="paragraph" w:customStyle="1" w:styleId="TableBodyText">
    <w:name w:val="Table Body Text"/>
    <w:basedOn w:val="BodyText"/>
    <w:rsid w:val="00B05A0B"/>
    <w:pPr>
      <w:spacing w:before="60" w:after="60"/>
    </w:pPr>
  </w:style>
  <w:style w:type="paragraph" w:styleId="ListContinue">
    <w:name w:val="List Continue"/>
    <w:basedOn w:val="List"/>
    <w:rsid w:val="00B05A0B"/>
    <w:pPr>
      <w:ind w:firstLine="0"/>
    </w:pPr>
  </w:style>
  <w:style w:type="paragraph" w:customStyle="1" w:styleId="ListNote">
    <w:name w:val="List Note"/>
    <w:basedOn w:val="List"/>
    <w:rsid w:val="00B05A0B"/>
    <w:pPr>
      <w:pBdr>
        <w:top w:val="single" w:sz="6" w:space="2" w:color="918585"/>
        <w:bottom w:val="single" w:sz="6" w:space="2" w:color="918585"/>
      </w:pBdr>
      <w:tabs>
        <w:tab w:val="left" w:pos="1021"/>
      </w:tabs>
      <w:ind w:firstLine="0"/>
    </w:pPr>
  </w:style>
  <w:style w:type="paragraph" w:customStyle="1" w:styleId="Warning">
    <w:name w:val="Warning"/>
    <w:basedOn w:val="BodyText"/>
    <w:rsid w:val="00B05A0B"/>
    <w:pPr>
      <w:shd w:val="clear" w:color="auto" w:fill="D9D9D9"/>
      <w:tabs>
        <w:tab w:val="left" w:pos="992"/>
      </w:tabs>
      <w:ind w:left="119" w:right="119"/>
    </w:pPr>
    <w:rPr>
      <w:sz w:val="20"/>
    </w:rPr>
  </w:style>
  <w:style w:type="paragraph" w:customStyle="1" w:styleId="MarginIcons">
    <w:name w:val="Margin Icons"/>
    <w:basedOn w:val="BodyText"/>
    <w:rsid w:val="00B05A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5A0B"/>
    <w:rPr>
      <w:rFonts w:ascii="Courier New" w:hAnsi="Courier New"/>
    </w:rPr>
  </w:style>
  <w:style w:type="paragraph" w:customStyle="1" w:styleId="NoteBullet">
    <w:name w:val="Note Bullet"/>
    <w:basedOn w:val="Note"/>
    <w:rsid w:val="00B05A0B"/>
    <w:pPr>
      <w:tabs>
        <w:tab w:val="clear" w:pos="680"/>
      </w:tabs>
      <w:spacing w:before="60" w:after="60"/>
    </w:pPr>
  </w:style>
  <w:style w:type="paragraph" w:customStyle="1" w:styleId="SubHeading2">
    <w:name w:val="SubHeading2"/>
    <w:basedOn w:val="HeadingBase"/>
    <w:rsid w:val="00B05A0B"/>
    <w:pPr>
      <w:spacing w:before="240" w:after="60"/>
    </w:pPr>
    <w:rPr>
      <w:sz w:val="20"/>
    </w:rPr>
  </w:style>
  <w:style w:type="paragraph" w:customStyle="1" w:styleId="SubHeading1">
    <w:name w:val="SubHeading1"/>
    <w:basedOn w:val="HeadingBase"/>
    <w:rsid w:val="00B05A0B"/>
    <w:pPr>
      <w:spacing w:before="240" w:after="60"/>
    </w:pPr>
    <w:rPr>
      <w:color w:val="918585"/>
      <w:sz w:val="22"/>
    </w:rPr>
  </w:style>
  <w:style w:type="paragraph" w:customStyle="1" w:styleId="SideHeading">
    <w:name w:val="Side Heading"/>
    <w:basedOn w:val="HeadingBase"/>
    <w:rsid w:val="00B05A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5A0B"/>
    <w:pPr>
      <w:tabs>
        <w:tab w:val="num" w:pos="360"/>
      </w:tabs>
    </w:pPr>
  </w:style>
  <w:style w:type="paragraph" w:styleId="PlainText">
    <w:name w:val="Plain Text"/>
    <w:basedOn w:val="Normal"/>
    <w:link w:val="PlainTextChar"/>
    <w:rsid w:val="00B05A0B"/>
    <w:rPr>
      <w:sz w:val="20"/>
    </w:rPr>
  </w:style>
  <w:style w:type="character" w:customStyle="1" w:styleId="PlainTextChar">
    <w:name w:val="Plain Text Char"/>
    <w:basedOn w:val="DefaultParagraphFont"/>
    <w:link w:val="PlainText"/>
    <w:rsid w:val="00B05A0B"/>
    <w:rPr>
      <w:rFonts w:ascii="Courier New" w:eastAsia="Times New Roman" w:hAnsi="Courier New" w:cs="Times New Roman"/>
      <w:sz w:val="20"/>
      <w:szCs w:val="20"/>
      <w:lang w:eastAsia="en-US"/>
    </w:rPr>
  </w:style>
  <w:style w:type="character" w:customStyle="1" w:styleId="MenuOption">
    <w:name w:val="Menu Option"/>
    <w:basedOn w:val="DefaultParagraphFont"/>
    <w:rsid w:val="00B05A0B"/>
    <w:rPr>
      <w:b/>
      <w:smallCaps/>
    </w:rPr>
  </w:style>
  <w:style w:type="paragraph" w:customStyle="1" w:styleId="TableListNumber">
    <w:name w:val="Table List Number"/>
    <w:basedOn w:val="ListNumber"/>
    <w:rsid w:val="00B05A0B"/>
    <w:pPr>
      <w:numPr>
        <w:numId w:val="0"/>
      </w:numPr>
    </w:pPr>
  </w:style>
  <w:style w:type="paragraph" w:styleId="TOC4">
    <w:name w:val="toc 4"/>
    <w:basedOn w:val="TOCBase"/>
    <w:next w:val="Normal"/>
    <w:semiHidden/>
    <w:rsid w:val="00B05A0B"/>
    <w:pPr>
      <w:tabs>
        <w:tab w:val="right" w:leader="dot" w:pos="9071"/>
      </w:tabs>
      <w:ind w:left="1701"/>
    </w:pPr>
  </w:style>
  <w:style w:type="paragraph" w:customStyle="1" w:styleId="ListAlpha">
    <w:name w:val="List Alpha"/>
    <w:basedOn w:val="List"/>
    <w:rsid w:val="00B05A0B"/>
    <w:pPr>
      <w:numPr>
        <w:numId w:val="9"/>
      </w:numPr>
    </w:pPr>
  </w:style>
  <w:style w:type="paragraph" w:customStyle="1" w:styleId="ListAlpha2">
    <w:name w:val="List Alpha 2"/>
    <w:basedOn w:val="List2"/>
    <w:rsid w:val="00B05A0B"/>
    <w:pPr>
      <w:numPr>
        <w:numId w:val="8"/>
      </w:numPr>
    </w:pPr>
  </w:style>
  <w:style w:type="paragraph" w:styleId="List2">
    <w:name w:val="List 2"/>
    <w:basedOn w:val="BodyText"/>
    <w:rsid w:val="00B05A0B"/>
    <w:pPr>
      <w:tabs>
        <w:tab w:val="left" w:pos="680"/>
      </w:tabs>
      <w:spacing w:before="60" w:after="60"/>
      <w:ind w:left="680" w:hanging="340"/>
    </w:pPr>
  </w:style>
  <w:style w:type="paragraph" w:styleId="List3">
    <w:name w:val="List 3"/>
    <w:basedOn w:val="BodyText"/>
    <w:rsid w:val="00B05A0B"/>
    <w:pPr>
      <w:tabs>
        <w:tab w:val="left" w:pos="1021"/>
      </w:tabs>
      <w:spacing w:before="60" w:after="60"/>
      <w:ind w:left="1020" w:hanging="340"/>
    </w:pPr>
  </w:style>
  <w:style w:type="paragraph" w:styleId="List4">
    <w:name w:val="List 4"/>
    <w:basedOn w:val="BodyText"/>
    <w:rsid w:val="00B05A0B"/>
    <w:pPr>
      <w:tabs>
        <w:tab w:val="left" w:pos="1361"/>
      </w:tabs>
      <w:spacing w:before="60" w:after="60"/>
      <w:ind w:left="1361" w:hanging="340"/>
    </w:pPr>
  </w:style>
  <w:style w:type="paragraph" w:styleId="List5">
    <w:name w:val="List 5"/>
    <w:basedOn w:val="BodyText"/>
    <w:rsid w:val="00B05A0B"/>
    <w:pPr>
      <w:tabs>
        <w:tab w:val="left" w:pos="1701"/>
      </w:tabs>
      <w:spacing w:before="60" w:after="60"/>
      <w:ind w:left="1701" w:hanging="340"/>
    </w:pPr>
  </w:style>
  <w:style w:type="paragraph" w:styleId="ListBullet3">
    <w:name w:val="List Bullet 3"/>
    <w:basedOn w:val="List3"/>
    <w:rsid w:val="00B05A0B"/>
    <w:pPr>
      <w:numPr>
        <w:numId w:val="14"/>
      </w:numPr>
      <w:tabs>
        <w:tab w:val="clear" w:pos="1021"/>
      </w:tabs>
      <w:ind w:left="1037" w:hanging="357"/>
    </w:pPr>
  </w:style>
  <w:style w:type="paragraph" w:styleId="ListBullet4">
    <w:name w:val="List Bullet 4"/>
    <w:basedOn w:val="List4"/>
    <w:rsid w:val="00B05A0B"/>
    <w:pPr>
      <w:numPr>
        <w:numId w:val="3"/>
      </w:numPr>
      <w:tabs>
        <w:tab w:val="clear" w:pos="1361"/>
      </w:tabs>
    </w:pPr>
  </w:style>
  <w:style w:type="paragraph" w:styleId="ListBullet5">
    <w:name w:val="List Bullet 5"/>
    <w:basedOn w:val="List5"/>
    <w:rsid w:val="00B05A0B"/>
    <w:pPr>
      <w:numPr>
        <w:numId w:val="4"/>
      </w:numPr>
    </w:pPr>
  </w:style>
  <w:style w:type="paragraph" w:styleId="ListContinue2">
    <w:name w:val="List Continue 2"/>
    <w:basedOn w:val="List2"/>
    <w:rsid w:val="00B05A0B"/>
    <w:pPr>
      <w:ind w:firstLine="0"/>
    </w:pPr>
  </w:style>
  <w:style w:type="paragraph" w:styleId="ListContinue3">
    <w:name w:val="List Continue 3"/>
    <w:basedOn w:val="List3"/>
    <w:rsid w:val="00B05A0B"/>
    <w:pPr>
      <w:ind w:left="1021" w:firstLine="0"/>
    </w:pPr>
  </w:style>
  <w:style w:type="paragraph" w:styleId="ListContinue4">
    <w:name w:val="List Continue 4"/>
    <w:basedOn w:val="List4"/>
    <w:rsid w:val="00B05A0B"/>
    <w:pPr>
      <w:ind w:firstLine="0"/>
    </w:pPr>
  </w:style>
  <w:style w:type="paragraph" w:styleId="ListContinue5">
    <w:name w:val="List Continue 5"/>
    <w:basedOn w:val="List5"/>
    <w:rsid w:val="00B05A0B"/>
    <w:pPr>
      <w:ind w:firstLine="0"/>
    </w:pPr>
  </w:style>
  <w:style w:type="paragraph" w:styleId="ListNumber3">
    <w:name w:val="List Number 3"/>
    <w:basedOn w:val="List3"/>
    <w:rsid w:val="00B05A0B"/>
    <w:pPr>
      <w:numPr>
        <w:numId w:val="5"/>
      </w:numPr>
    </w:pPr>
  </w:style>
  <w:style w:type="paragraph" w:styleId="ListNumber4">
    <w:name w:val="List Number 4"/>
    <w:basedOn w:val="List4"/>
    <w:rsid w:val="00B05A0B"/>
    <w:pPr>
      <w:numPr>
        <w:numId w:val="6"/>
      </w:numPr>
    </w:pPr>
  </w:style>
  <w:style w:type="paragraph" w:styleId="ListNumber5">
    <w:name w:val="List Number 5"/>
    <w:basedOn w:val="List5"/>
    <w:rsid w:val="00B05A0B"/>
    <w:pPr>
      <w:numPr>
        <w:numId w:val="7"/>
      </w:numPr>
    </w:pPr>
  </w:style>
  <w:style w:type="paragraph" w:styleId="BlockText">
    <w:name w:val="Block Text"/>
    <w:basedOn w:val="Normal"/>
    <w:rsid w:val="00B05A0B"/>
    <w:pPr>
      <w:spacing w:after="120"/>
      <w:ind w:left="1440" w:right="1440"/>
    </w:pPr>
  </w:style>
  <w:style w:type="character" w:customStyle="1" w:styleId="Subscript">
    <w:name w:val="Subscript"/>
    <w:basedOn w:val="DefaultParagraphFont"/>
    <w:rsid w:val="00B05A0B"/>
    <w:rPr>
      <w:sz w:val="16"/>
      <w:vertAlign w:val="subscript"/>
    </w:rPr>
  </w:style>
  <w:style w:type="character" w:customStyle="1" w:styleId="Superscript">
    <w:name w:val="Superscript"/>
    <w:basedOn w:val="DefaultParagraphFont"/>
    <w:rsid w:val="00B05A0B"/>
    <w:rPr>
      <w:sz w:val="16"/>
      <w:vertAlign w:val="superscript"/>
    </w:rPr>
  </w:style>
  <w:style w:type="character" w:customStyle="1" w:styleId="Symbols">
    <w:name w:val="Symbols"/>
    <w:basedOn w:val="DefaultParagraphFont"/>
    <w:rsid w:val="00B05A0B"/>
    <w:rPr>
      <w:rFonts w:ascii="Symbol" w:hAnsi="Symbol"/>
    </w:rPr>
  </w:style>
  <w:style w:type="character" w:customStyle="1" w:styleId="MenuOptions">
    <w:name w:val="Menu Options"/>
    <w:basedOn w:val="DefaultParagraphFont"/>
    <w:rsid w:val="00B05A0B"/>
    <w:rPr>
      <w:rFonts w:ascii="Arial Narrow" w:hAnsi="Arial Narrow"/>
      <w:smallCaps/>
    </w:rPr>
  </w:style>
  <w:style w:type="character" w:customStyle="1" w:styleId="Buttons">
    <w:name w:val="Buttons"/>
    <w:basedOn w:val="DefaultParagraphFont"/>
    <w:rsid w:val="00B05A0B"/>
    <w:rPr>
      <w:b/>
    </w:rPr>
  </w:style>
  <w:style w:type="character" w:customStyle="1" w:styleId="Underlined">
    <w:name w:val="Underlined"/>
    <w:basedOn w:val="DefaultParagraphFont"/>
    <w:rsid w:val="00B05A0B"/>
    <w:rPr>
      <w:u w:val="single"/>
    </w:rPr>
  </w:style>
  <w:style w:type="paragraph" w:customStyle="1" w:styleId="TableBodyTextRight">
    <w:name w:val="Table Body Text Right"/>
    <w:basedOn w:val="TableBodyText"/>
    <w:rsid w:val="00B05A0B"/>
    <w:pPr>
      <w:widowControl w:val="0"/>
      <w:autoSpaceDE w:val="0"/>
      <w:autoSpaceDN w:val="0"/>
      <w:adjustRightInd w:val="0"/>
      <w:jc w:val="right"/>
    </w:pPr>
    <w:rPr>
      <w:rFonts w:cs="Arial"/>
      <w:szCs w:val="18"/>
    </w:rPr>
  </w:style>
  <w:style w:type="paragraph" w:customStyle="1" w:styleId="CopyrightText">
    <w:name w:val="Copyright Text"/>
    <w:basedOn w:val="BodyText"/>
    <w:rsid w:val="00B05A0B"/>
    <w:rPr>
      <w:sz w:val="18"/>
    </w:rPr>
  </w:style>
  <w:style w:type="paragraph" w:customStyle="1" w:styleId="BodySmallRight">
    <w:name w:val="Body Small Right"/>
    <w:basedOn w:val="BodyTextRight"/>
    <w:rsid w:val="00B05A0B"/>
    <w:rPr>
      <w:sz w:val="18"/>
      <w:szCs w:val="18"/>
    </w:rPr>
  </w:style>
  <w:style w:type="paragraph" w:customStyle="1" w:styleId="MarginEdition">
    <w:name w:val="Margin Edition"/>
    <w:basedOn w:val="MarginNote"/>
    <w:rsid w:val="00B05A0B"/>
    <w:pPr>
      <w:spacing w:before="0" w:after="0"/>
    </w:pPr>
    <w:rPr>
      <w:rFonts w:ascii="Times New Roman" w:hAnsi="Times New Roman"/>
      <w:color w:val="999999"/>
    </w:rPr>
  </w:style>
  <w:style w:type="paragraph" w:customStyle="1" w:styleId="Spacer">
    <w:name w:val="Spacer"/>
    <w:basedOn w:val="Normal"/>
    <w:rsid w:val="00B05A0B"/>
    <w:rPr>
      <w:sz w:val="2"/>
      <w:szCs w:val="2"/>
    </w:rPr>
  </w:style>
  <w:style w:type="character" w:customStyle="1" w:styleId="Small">
    <w:name w:val="Small"/>
    <w:basedOn w:val="DefaultParagraphFont"/>
    <w:rsid w:val="00B05A0B"/>
    <w:rPr>
      <w:sz w:val="16"/>
    </w:rPr>
  </w:style>
  <w:style w:type="paragraph" w:customStyle="1" w:styleId="WideTable">
    <w:name w:val="Wide Table"/>
    <w:basedOn w:val="Normal"/>
    <w:rsid w:val="00B05A0B"/>
    <w:pPr>
      <w:ind w:left="-1418"/>
    </w:pPr>
    <w:rPr>
      <w:sz w:val="2"/>
      <w:szCs w:val="2"/>
    </w:rPr>
  </w:style>
  <w:style w:type="character" w:styleId="PageNumber">
    <w:name w:val="page number"/>
    <w:basedOn w:val="DefaultParagraphFont"/>
    <w:rsid w:val="00B05A0B"/>
  </w:style>
  <w:style w:type="paragraph" w:styleId="Quote">
    <w:name w:val="Quote"/>
    <w:basedOn w:val="Heading1"/>
    <w:link w:val="QuoteChar"/>
    <w:qFormat/>
    <w:rsid w:val="00B05A0B"/>
    <w:rPr>
      <w:b w:val="0"/>
      <w:sz w:val="72"/>
      <w:szCs w:val="72"/>
      <w:lang w:val="en-NZ"/>
    </w:rPr>
  </w:style>
  <w:style w:type="character" w:customStyle="1" w:styleId="QuoteChar">
    <w:name w:val="Quote Char"/>
    <w:basedOn w:val="DefaultParagraphFont"/>
    <w:link w:val="Quote"/>
    <w:rsid w:val="00B05A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5A0B"/>
    <w:pPr>
      <w:pageBreakBefore/>
    </w:pPr>
  </w:style>
  <w:style w:type="paragraph" w:customStyle="1" w:styleId="Border">
    <w:name w:val="Border"/>
    <w:basedOn w:val="Normal"/>
    <w:qFormat/>
    <w:rsid w:val="00B05A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5A0B"/>
    <w:rPr>
      <w:b/>
      <w:bCs/>
      <w:i/>
      <w:iCs/>
      <w:color w:val="auto"/>
    </w:rPr>
  </w:style>
  <w:style w:type="paragraph" w:styleId="IntenseQuote">
    <w:name w:val="Intense Quote"/>
    <w:basedOn w:val="Normal"/>
    <w:next w:val="Normal"/>
    <w:link w:val="IntenseQuoteChar"/>
    <w:uiPriority w:val="30"/>
    <w:qFormat/>
    <w:rsid w:val="00B05A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5A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5A0B"/>
    <w:rPr>
      <w:smallCaps/>
      <w:color w:val="auto"/>
      <w:u w:val="single"/>
    </w:rPr>
  </w:style>
  <w:style w:type="character" w:styleId="IntenseReference">
    <w:name w:val="Intense Reference"/>
    <w:basedOn w:val="DefaultParagraphFont"/>
    <w:uiPriority w:val="32"/>
    <w:qFormat/>
    <w:rsid w:val="00B05A0B"/>
    <w:rPr>
      <w:b/>
      <w:bCs/>
      <w:smallCaps/>
      <w:color w:val="auto"/>
      <w:spacing w:val="5"/>
      <w:u w:val="single"/>
    </w:rPr>
  </w:style>
  <w:style w:type="paragraph" w:customStyle="1" w:styleId="2ColumnHeading">
    <w:name w:val="2Column Heading"/>
    <w:basedOn w:val="BodyText"/>
    <w:qFormat/>
    <w:rsid w:val="00B05A0B"/>
    <w:pPr>
      <w:spacing w:after="60"/>
      <w:ind w:left="-2268"/>
    </w:pPr>
    <w:rPr>
      <w:b/>
    </w:rPr>
  </w:style>
  <w:style w:type="paragraph" w:customStyle="1" w:styleId="Heading1TOC">
    <w:name w:val="Heading1 TOC"/>
    <w:basedOn w:val="Normal"/>
    <w:qFormat/>
    <w:rsid w:val="00B05A0B"/>
    <w:pPr>
      <w:spacing w:before="240" w:after="120"/>
    </w:pPr>
    <w:rPr>
      <w:rFonts w:ascii="Times New Roman" w:hAnsi="Times New Roman"/>
      <w:b/>
      <w:sz w:val="32"/>
    </w:rPr>
  </w:style>
  <w:style w:type="paragraph" w:customStyle="1" w:styleId="Heading2TOC">
    <w:name w:val="Heading2 TOC"/>
    <w:basedOn w:val="Normal"/>
    <w:qFormat/>
    <w:rsid w:val="00B05A0B"/>
    <w:pPr>
      <w:spacing w:before="240" w:after="60"/>
    </w:pPr>
    <w:rPr>
      <w:rFonts w:ascii="Times New Roman" w:hAnsi="Times New Roman"/>
      <w:b/>
      <w:sz w:val="28"/>
    </w:rPr>
  </w:style>
  <w:style w:type="character" w:customStyle="1" w:styleId="Underline">
    <w:name w:val="Underline"/>
    <w:basedOn w:val="DefaultParagraphFont"/>
    <w:qFormat/>
    <w:rsid w:val="00B05A0B"/>
    <w:rPr>
      <w:u w:val="single"/>
    </w:rPr>
  </w:style>
  <w:style w:type="character" w:customStyle="1" w:styleId="BoldandItalics">
    <w:name w:val="Bold and Italics"/>
    <w:qFormat/>
    <w:rsid w:val="00B05A0B"/>
    <w:rPr>
      <w:b/>
      <w:i/>
      <w:u w:val="none"/>
    </w:rPr>
  </w:style>
  <w:style w:type="paragraph" w:styleId="BalloonText">
    <w:name w:val="Balloon Text"/>
    <w:basedOn w:val="Normal"/>
    <w:link w:val="BalloonTextChar"/>
    <w:rsid w:val="00B05A0B"/>
    <w:rPr>
      <w:rFonts w:ascii="Tahoma" w:hAnsi="Tahoma" w:cs="Tahoma"/>
      <w:sz w:val="16"/>
      <w:szCs w:val="16"/>
    </w:rPr>
  </w:style>
  <w:style w:type="character" w:customStyle="1" w:styleId="BalloonTextChar">
    <w:name w:val="Balloon Text Char"/>
    <w:basedOn w:val="DefaultParagraphFont"/>
    <w:link w:val="BalloonText"/>
    <w:rsid w:val="00B05A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5A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5A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5A0B"/>
    <w:rPr>
      <w:b/>
      <w:color w:val="660033"/>
      <w:spacing w:val="0"/>
    </w:rPr>
  </w:style>
  <w:style w:type="paragraph" w:customStyle="1" w:styleId="Nameditemlist">
    <w:name w:val="Named item list"/>
    <w:basedOn w:val="BodyText"/>
    <w:qFormat/>
    <w:rsid w:val="00B05A0B"/>
    <w:pPr>
      <w:tabs>
        <w:tab w:val="left" w:pos="2835"/>
      </w:tabs>
      <w:ind w:left="2835" w:hanging="2835"/>
    </w:pPr>
  </w:style>
  <w:style w:type="paragraph" w:customStyle="1" w:styleId="BodyTextnopadding">
    <w:name w:val="Body Text no padding"/>
    <w:basedOn w:val="BodyText"/>
    <w:qFormat/>
    <w:rsid w:val="00B05A0B"/>
    <w:pPr>
      <w:spacing w:before="0" w:after="0"/>
    </w:pPr>
  </w:style>
  <w:style w:type="paragraph" w:customStyle="1" w:styleId="BodyTextBold">
    <w:name w:val="Body Text Bold"/>
    <w:basedOn w:val="BodyText"/>
    <w:qFormat/>
    <w:rsid w:val="00B05A0B"/>
    <w:rPr>
      <w:b/>
    </w:rPr>
  </w:style>
  <w:style w:type="character" w:styleId="Hyperlink">
    <w:name w:val="Hyperlink"/>
    <w:basedOn w:val="DefaultParagraphFont"/>
    <w:uiPriority w:val="99"/>
    <w:unhideWhenUsed/>
    <w:rsid w:val="00D719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1164</Words>
  <Characters>7636</Characters>
  <Application>Microsoft Office Word</Application>
  <DocSecurity>0</DocSecurity>
  <Lines>305</Lines>
  <Paragraphs>179</Paragraphs>
  <ScaleCrop>false</ScaleCrop>
  <Company>Author-it Software Corporation Ltd.</Company>
  <LinksUpToDate>false</LinksUpToDate>
  <CharactersWithSpaces>8621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MSS405020 Develop quick changeover procedures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2025-03-01T14:54:00Z</dcterms:created>
  <dcterms:modified xsi:type="dcterms:W3CDTF">2025-03-01T14:54:00Z</dcterms:modified>
</cp:coreProperties>
</file>