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CE5" w:rsidP="00063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MSS405015 Manage relationships with non-customer external organisations</w:t>
      </w:r>
      <w:r>
        <w:fldChar w:fldCharType="end"/>
      </w:r>
    </w:p>
    <w:p w:rsidR="00063CE5" w:rsidP="00063CE5">
      <w:pPr>
        <w:pStyle w:val="Version"/>
        <w:sectPr w:rsidSect="00D51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458" w:rsidP="00D51458">
      <w:pPr>
        <w:pStyle w:val="SuperHeading"/>
      </w:pPr>
      <w:r w:rsidRPr="00D51458">
        <w:t>MSS405015 Man</w:t>
      </w:r>
      <w:r w:rsidRPr="00D51458">
        <w:t>age relationships with non-customer external organisations</w:t>
      </w:r>
    </w:p>
    <w:p w:rsidR="00000000" w:rsidRPr="00D51458" w:rsidP="00D51458">
      <w:pPr>
        <w:pStyle w:val="Heading1"/>
      </w:pPr>
      <w:bookmarkStart w:id="1" w:name="O_1033828"/>
      <w:bookmarkEnd w:id="1"/>
      <w:r w:rsidRPr="00D51458">
        <w:t>Modification History</w:t>
      </w:r>
    </w:p>
    <w:p w:rsidR="00000000" w:rsidRPr="00D51458" w:rsidP="00063CE5">
      <w:pPr>
        <w:pStyle w:val="BodyText"/>
      </w:pPr>
      <w:r w:rsidRPr="00D51458">
        <w:t>Release 1. Code change. Application changed. Performance criteria changed. Range of conditions removed. Assessment requirements</w:t>
      </w:r>
      <w:r w:rsidRPr="00D51458">
        <w:t xml:space="preserve"> changed. Supersedes and is equivalent to MSS405010 Manage relationships with non-customer external organisations.</w:t>
      </w:r>
    </w:p>
    <w:p w:rsidR="00000000" w:rsidRPr="00D51458" w:rsidP="00D51458">
      <w:pPr>
        <w:pStyle w:val="Heading1"/>
      </w:pPr>
      <w:bookmarkStart w:id="2" w:name="O_1033829"/>
      <w:bookmarkEnd w:id="2"/>
      <w:r w:rsidRPr="00D51458">
        <w:t>Application</w:t>
      </w:r>
    </w:p>
    <w:p w:rsidR="00000000" w:rsidRPr="00D51458" w:rsidP="00063CE5">
      <w:pPr>
        <w:pStyle w:val="BodyText"/>
      </w:pPr>
      <w:r w:rsidRPr="00D51458">
        <w:t>This unit describes the skills and knowledge required to identify and manage relationships with non-customer e</w:t>
      </w:r>
      <w:r w:rsidRPr="00D51458">
        <w:t>xternal organisations, including community groups, other businesses, training providers, research organisations and government departments. This includes managing a range of external organisations to the maximum benefit of the organisation and the organisa</w:t>
      </w:r>
      <w:r w:rsidRPr="00D51458">
        <w:t>tion</w:t>
      </w:r>
      <w:r>
        <w:t>’</w:t>
      </w:r>
      <w:r w:rsidRPr="00D51458">
        <w:t>s customers while also identifying areas of mutual interest and benefit with the external organisations.</w:t>
      </w:r>
    </w:p>
    <w:p w:rsidR="00000000" w:rsidRPr="00D51458" w:rsidP="00063CE5">
      <w:pPr>
        <w:pStyle w:val="BodyText"/>
      </w:pPr>
      <w:r w:rsidRPr="00D51458">
        <w:t xml:space="preserve">This unit applies to a manager or supervisor who is responsible for managing external relationships that may impact on the performance, community </w:t>
      </w:r>
      <w:r w:rsidRPr="00D51458">
        <w:t>standing or regulatory compliance of the organisation.</w:t>
      </w:r>
    </w:p>
    <w:p w:rsidR="00000000" w:rsidRPr="00D51458" w:rsidP="00063CE5">
      <w:pPr>
        <w:pStyle w:val="BodyText"/>
      </w:pPr>
      <w:r w:rsidRPr="00D51458">
        <w:t>No licensing or certification requirements exist at the time of publication. Relevant legislation, industry standards and codes of practice within Australia must also be applied.</w:t>
      </w:r>
    </w:p>
    <w:p w:rsidR="00000000" w:rsidRPr="00D51458" w:rsidP="00D51458">
      <w:pPr>
        <w:pStyle w:val="Heading1"/>
      </w:pPr>
      <w:bookmarkStart w:id="3" w:name="O_1033830"/>
      <w:bookmarkEnd w:id="3"/>
      <w:r w:rsidRPr="00D51458">
        <w:t>Pre</w:t>
      </w:r>
      <w:r w:rsidRPr="00D51458">
        <w:t>-requisite Unit</w:t>
      </w:r>
    </w:p>
    <w:p w:rsidR="00000000" w:rsidRPr="00D51458" w:rsidP="00063CE5">
      <w:pPr>
        <w:pStyle w:val="BodyText"/>
      </w:pPr>
      <w:r w:rsidRPr="00D51458">
        <w:t>Nil.</w:t>
      </w:r>
    </w:p>
    <w:p w:rsidR="00000000" w:rsidRPr="00D51458" w:rsidP="00D51458">
      <w:pPr>
        <w:pStyle w:val="Heading1"/>
      </w:pPr>
      <w:bookmarkStart w:id="4" w:name="O_1033831"/>
      <w:bookmarkEnd w:id="4"/>
      <w:r w:rsidRPr="00D51458">
        <w:t>Competency Field</w:t>
      </w:r>
    </w:p>
    <w:p w:rsidR="00000000" w:rsidRPr="00D51458" w:rsidP="00063CE5">
      <w:pPr>
        <w:pStyle w:val="BodyText"/>
      </w:pPr>
      <w:r w:rsidRPr="00D51458">
        <w:t>Competitive systems and practices</w:t>
      </w:r>
    </w:p>
    <w:p w:rsidR="00000000" w:rsidRPr="00D51458" w:rsidP="00D51458">
      <w:pPr>
        <w:pStyle w:val="Heading1"/>
      </w:pPr>
      <w:bookmarkStart w:id="5" w:name="O_1033832"/>
      <w:bookmarkEnd w:id="5"/>
      <w:r w:rsidRPr="00D51458">
        <w:t>Unit Sector</w:t>
      </w:r>
    </w:p>
    <w:p w:rsidR="00000000" w:rsidRPr="00D51458" w:rsidP="00D51458">
      <w:pPr>
        <w:pStyle w:val="Heading1"/>
      </w:pPr>
      <w:bookmarkStart w:id="6" w:name="O_1033833"/>
      <w:bookmarkEnd w:id="6"/>
      <w:r w:rsidRPr="00D514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458" w:rsidP="00D51458">
            <w:pPr>
              <w:pStyle w:val="BodyText"/>
            </w:pPr>
            <w:r w:rsidRPr="00D51458">
              <w:rPr>
                <w:rStyle w:val="SpecialBold"/>
              </w:rPr>
              <w:t>Elements</w:t>
            </w:r>
          </w:p>
          <w:p w:rsidR="00000000" w:rsidRPr="00D51458" w:rsidP="00D51458">
            <w:pPr>
              <w:pStyle w:val="BodyText"/>
            </w:pPr>
            <w:r w:rsidRPr="00D5145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458" w:rsidP="00D51458">
            <w:pPr>
              <w:pStyle w:val="BodyText"/>
            </w:pPr>
            <w:r w:rsidRPr="00D51458">
              <w:rPr>
                <w:rStyle w:val="SpecialBold"/>
              </w:rPr>
              <w:t>Performance Criteria</w:t>
            </w:r>
          </w:p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Performanc</w:t>
            </w:r>
            <w:r w:rsidRPr="00D51458">
              <w:t>e criteria describe the performance needed to demonstrate achievement of the element.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1. Identify mutual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Clarify the reason for contact with each external organisation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Gather information on extent of past contact and positive or negative outcomes for own and external organisation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Identify expectations of initiating organisation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458" w:rsidP="00D51458">
            <w:pPr>
              <w:pStyle w:val="BodyText"/>
            </w:pPr>
            <w:r w:rsidRPr="00D51458">
              <w:t>Analyse the breadth, depth and complexity of external organisations’</w:t>
            </w:r>
          </w:p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expectations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Discuss expectations, ability to meet those expectations, and areas of mutual interest with internal and external representatives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2. Determine contribution of relationship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Identify value contributions from relationship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Identify muda (waste) arising from relationship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Classify muda (waste) into necessary or unnecessary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Set key performance indicators (KPIs) for future relationship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3. Manage the relationship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Measure current performance of relationship against expectations and KPIs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Develop systems to enhance mutual benefit and value contributions from relationship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Develop systems to minimise and control necessary muda (waste) without causing harm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Eliminate unnecessary muda (waste) without causing harm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Monitor KPIs and determine future strategy for the relationship</w:t>
            </w:r>
          </w:p>
        </w:tc>
      </w:tr>
      <w:tr w:rsidTr="00063C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458">
            <w:pPr>
              <w:pStyle w:val="BodyText"/>
              <w:rPr>
                <w:lang w:val="en-NZ"/>
              </w:rPr>
            </w:pPr>
            <w:r w:rsidRPr="00D51458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458" w:rsidP="00D51458">
            <w:pPr>
              <w:pStyle w:val="BodyText"/>
            </w:pPr>
            <w:r w:rsidRPr="00D51458">
              <w:t>Continue to manage or terminate the relationship in a manner which enhances the organisation</w:t>
            </w:r>
          </w:p>
        </w:tc>
      </w:tr>
    </w:tbl>
    <w:p w:rsidR="00000000" w:rsidRPr="00D51458" w:rsidP="00D51458">
      <w:pPr>
        <w:pStyle w:val="BodyText"/>
      </w:pPr>
    </w:p>
    <w:p w:rsidR="00000000" w:rsidRPr="00D51458" w:rsidP="00D51458">
      <w:pPr>
        <w:pStyle w:val="AllowPageBreak"/>
      </w:pPr>
    </w:p>
    <w:p w:rsidR="00000000" w:rsidRPr="00D51458" w:rsidP="00D51458">
      <w:pPr>
        <w:pStyle w:val="Heading1"/>
      </w:pPr>
      <w:bookmarkStart w:id="7" w:name="O_1033834"/>
      <w:bookmarkEnd w:id="7"/>
      <w:r w:rsidRPr="00D51458">
        <w:t>Foundation Skills</w:t>
      </w:r>
    </w:p>
    <w:p w:rsidR="00000000" w:rsidRPr="00D51458" w:rsidP="00063CE5">
      <w:pPr>
        <w:pStyle w:val="BodyText"/>
      </w:pPr>
      <w:r w:rsidRPr="00D51458">
        <w:t>Foundation skills essential to performance are explicit in the performance criteria of this unit of competency.</w:t>
      </w:r>
    </w:p>
    <w:p w:rsidR="00000000" w:rsidRPr="00D51458" w:rsidP="00D51458">
      <w:pPr>
        <w:pStyle w:val="Heading1"/>
      </w:pPr>
      <w:bookmarkStart w:id="8" w:name="O_1033835"/>
      <w:bookmarkEnd w:id="8"/>
      <w:r w:rsidRPr="00D51458">
        <w:t>Range of Conditions</w:t>
      </w:r>
    </w:p>
    <w:p w:rsidR="00000000" w:rsidRPr="00D51458" w:rsidP="00D51458">
      <w:pPr>
        <w:pStyle w:val="Heading1"/>
      </w:pPr>
      <w:bookmarkStart w:id="9" w:name="O_1033836"/>
      <w:bookmarkEnd w:id="9"/>
      <w:r w:rsidRPr="00D51458">
        <w:t>Unit Mapping Information</w:t>
      </w:r>
    </w:p>
    <w:p w:rsidR="00000000" w:rsidRPr="00D51458" w:rsidP="00063CE5">
      <w:pPr>
        <w:pStyle w:val="BodyText"/>
      </w:pPr>
      <w:r w:rsidRPr="00D51458">
        <w:t>Supersedes and is equivalent to MSS405010 Ma</w:t>
      </w:r>
      <w:r w:rsidRPr="00D51458">
        <w:t>nage relationships with non- customer external organisations.</w:t>
      </w:r>
    </w:p>
    <w:p w:rsidR="00000000" w:rsidRPr="00D51458" w:rsidP="00D51458">
      <w:pPr>
        <w:pStyle w:val="Heading1"/>
      </w:pPr>
      <w:bookmarkStart w:id="10" w:name="O_1033843"/>
      <w:bookmarkEnd w:id="10"/>
      <w:r w:rsidRPr="00D51458">
        <w:t>Links</w:t>
      </w:r>
    </w:p>
    <w:p w:rsidR="00000000" w:rsidRPr="00D51458" w:rsidP="00063CE5">
      <w:pPr>
        <w:pStyle w:val="BodyText"/>
      </w:pPr>
      <w:r w:rsidRPr="00D5145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1672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51458" w:rsidP="00063CE5">
      <w:pPr>
        <w:pStyle w:val="BodyText"/>
        <w:sectPr w:rsidSect="00D514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1458" w:rsidP="00D51458">
      <w:pPr>
        <w:pStyle w:val="SuperHeading"/>
      </w:pPr>
      <w:r w:rsidRPr="00D51458">
        <w:t>Assessment Requirements for MSS405015 Manage relationships with non-customer external organisations</w:t>
      </w:r>
    </w:p>
    <w:p w:rsidR="00000000" w:rsidRPr="00D51458" w:rsidP="00D51458">
      <w:pPr>
        <w:pStyle w:val="Heading1"/>
      </w:pPr>
      <w:bookmarkStart w:id="11" w:name="O_1033838"/>
      <w:bookmarkEnd w:id="11"/>
      <w:r w:rsidRPr="00D51458">
        <w:t>Modification History</w:t>
      </w:r>
    </w:p>
    <w:p w:rsidR="00000000" w:rsidRPr="00D51458" w:rsidP="00063CE5">
      <w:pPr>
        <w:pStyle w:val="BodyText"/>
      </w:pPr>
      <w:r w:rsidRPr="00D51458">
        <w:t>Release 1. Code change. Application changed. Performance criteria changed. Range of conditions removed. Assessment requirements changed. Supersedes and is equivalent to MSS405010 Manage relationships with non-customer external organisations.</w:t>
      </w:r>
    </w:p>
    <w:p w:rsidR="00000000" w:rsidRPr="00D51458" w:rsidP="00D51458">
      <w:pPr>
        <w:pStyle w:val="Heading1"/>
      </w:pPr>
      <w:bookmarkStart w:id="12" w:name="O_1033839"/>
      <w:bookmarkEnd w:id="12"/>
      <w:r w:rsidRPr="00D51458">
        <w:t>Performance Evidence</w:t>
      </w:r>
    </w:p>
    <w:p w:rsidR="00000000" w:rsidRPr="00D51458" w:rsidP="00063CE5">
      <w:pPr>
        <w:pStyle w:val="BodyText"/>
      </w:pPr>
      <w:r w:rsidRPr="00D51458">
        <w:t>There must be evidence the candidate has completed the tasks outlined in the elements and performance criteria of this unit, and:</w:t>
      </w:r>
    </w:p>
    <w:p w:rsidR="00000000" w:rsidRPr="00D51458" w:rsidP="00D51458">
      <w:pPr>
        <w:pStyle w:val="ListBullet"/>
      </w:pPr>
      <w:r w:rsidRPr="00D51458">
        <w:t>managed relationships for at least 1 non-customer external organisation.</w:t>
      </w:r>
    </w:p>
    <w:p w:rsidR="00000000" w:rsidRPr="00D51458" w:rsidP="00D51458">
      <w:pPr>
        <w:pStyle w:val="AllowPageBreak"/>
      </w:pPr>
    </w:p>
    <w:p w:rsidR="00000000" w:rsidRPr="00D51458" w:rsidP="00D51458">
      <w:pPr>
        <w:pStyle w:val="Heading1"/>
      </w:pPr>
      <w:bookmarkStart w:id="13" w:name="O_1033840"/>
      <w:bookmarkEnd w:id="13"/>
      <w:r w:rsidRPr="00D51458">
        <w:t>Knowled</w:t>
      </w:r>
      <w:r w:rsidRPr="00D51458">
        <w:t>ge Evidence</w:t>
      </w:r>
    </w:p>
    <w:p w:rsidR="00000000" w:rsidRPr="00D51458" w:rsidP="00063CE5">
      <w:pPr>
        <w:pStyle w:val="BodyText"/>
      </w:pPr>
      <w:r w:rsidRPr="00D51458">
        <w:t>There must be evidence the candidate has knowledge of:</w:t>
      </w:r>
    </w:p>
    <w:p w:rsidR="00000000" w:rsidRPr="00D51458" w:rsidP="00D51458">
      <w:pPr>
        <w:pStyle w:val="ListBullet"/>
      </w:pPr>
      <w:r w:rsidRPr="00D51458">
        <w:t>strategic requirements of own organisation</w:t>
      </w:r>
    </w:p>
    <w:p w:rsidR="00000000" w:rsidRPr="00D51458" w:rsidP="00D51458">
      <w:pPr>
        <w:pStyle w:val="ListBullet"/>
      </w:pPr>
      <w:r w:rsidRPr="00D51458">
        <w:t>strategic benefits to the organisation from liaisons with external organisations</w:t>
      </w:r>
    </w:p>
    <w:p w:rsidR="00000000" w:rsidRPr="00D51458" w:rsidP="00D51458">
      <w:pPr>
        <w:pStyle w:val="ListBullet"/>
      </w:pPr>
      <w:r w:rsidRPr="00D51458">
        <w:t>external organisations which may offer benefits</w:t>
      </w:r>
    </w:p>
    <w:p w:rsidR="00000000" w:rsidRPr="00D51458" w:rsidP="00D51458">
      <w:pPr>
        <w:pStyle w:val="ListBullet"/>
      </w:pPr>
      <w:r w:rsidRPr="00D51458">
        <w:t>benefits which c</w:t>
      </w:r>
      <w:r w:rsidRPr="00D51458">
        <w:t>an be offered to the external organisations</w:t>
      </w:r>
    </w:p>
    <w:p w:rsidR="00000000" w:rsidRPr="00D51458" w:rsidP="00D51458">
      <w:pPr>
        <w:pStyle w:val="ListBullet"/>
      </w:pPr>
      <w:r w:rsidRPr="00D51458">
        <w:t>customer benefits and features from products and processes of own organisation</w:t>
      </w:r>
    </w:p>
    <w:p w:rsidR="00000000" w:rsidRPr="00D51458" w:rsidP="00D51458">
      <w:pPr>
        <w:pStyle w:val="ListBullet"/>
      </w:pPr>
      <w:r w:rsidRPr="00D51458">
        <w:t>muda (waste) categories and elimination</w:t>
      </w:r>
    </w:p>
    <w:p w:rsidR="00000000" w:rsidRPr="00D51458" w:rsidP="00D51458">
      <w:pPr>
        <w:pStyle w:val="ListBullet"/>
      </w:pPr>
      <w:r w:rsidRPr="00D51458">
        <w:t>formal problem-solving procedures.</w:t>
      </w:r>
    </w:p>
    <w:p w:rsidR="00000000" w:rsidRPr="00D51458" w:rsidP="00D51458">
      <w:pPr>
        <w:pStyle w:val="AllowPageBreak"/>
      </w:pPr>
    </w:p>
    <w:p w:rsidR="00000000" w:rsidRPr="00D51458" w:rsidP="00D51458">
      <w:pPr>
        <w:pStyle w:val="Heading1"/>
      </w:pPr>
      <w:bookmarkStart w:id="14" w:name="O_1033841"/>
      <w:bookmarkEnd w:id="14"/>
      <w:r w:rsidRPr="00D51458">
        <w:t>Assessment Conditions</w:t>
      </w:r>
    </w:p>
    <w:p w:rsidR="00000000" w:rsidRPr="00D51458" w:rsidP="00063CE5">
      <w:pPr>
        <w:pStyle w:val="BodyText"/>
      </w:pPr>
      <w:r w:rsidRPr="00D51458">
        <w:t xml:space="preserve">Skills must have </w:t>
      </w:r>
      <w:r w:rsidRPr="00D51458">
        <w:t>been demonstrated in the workplace or in a simulated environment that reflects workplace conditions, contingencies, facilities, equipment and resources.</w:t>
      </w:r>
    </w:p>
    <w:p w:rsidR="00000000" w:rsidRPr="00D51458" w:rsidP="00063CE5">
      <w:pPr>
        <w:pStyle w:val="BodyText"/>
      </w:pPr>
      <w:r w:rsidRPr="00D51458">
        <w:t>Assessors must satisfy the NVR/AQTF mandatory competency requirements for assessors.</w:t>
      </w:r>
    </w:p>
    <w:p w:rsidR="00000000" w:rsidRPr="00D51458" w:rsidP="00D51458">
      <w:pPr>
        <w:pStyle w:val="Heading1"/>
      </w:pPr>
      <w:bookmarkStart w:id="15" w:name="O_1033844"/>
      <w:bookmarkEnd w:id="15"/>
      <w:r w:rsidRPr="00D51458">
        <w:t>Links</w:t>
      </w:r>
    </w:p>
    <w:p w:rsidR="00000000" w:rsidRPr="00D51458" w:rsidP="00063CE5">
      <w:pPr>
        <w:pStyle w:val="BodyText"/>
      </w:pPr>
      <w:r w:rsidRPr="00D5145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1672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51458" w:rsidP="00D51458"/>
    <w:sectPr w:rsidSect="00D514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58" w:rsidRPr="00063CE5" w:rsidP="00063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E5" w:rsidP="00D51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CE5" w:rsidP="00D51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63CE5" w:rsidP="00D514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58" w:rsidP="00D51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3CE5">
      <w:t>Approved</w:t>
    </w:r>
    <w:r w:rsidR="00063C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3C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3CE5">
      <w:rPr>
        <w:noProof/>
      </w:rPr>
      <w:t>4</w:t>
    </w:r>
    <w:r>
      <w:rPr>
        <w:noProof/>
      </w:rPr>
      <w:fldChar w:fldCharType="end"/>
    </w:r>
  </w:p>
  <w:p w:rsidR="00D51458" w:rsidP="00D51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3C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3CE5">
      <w:t>Manufacturing Industry Skills Alliance</w:t>
    </w:r>
    <w:r w:rsidR="00063CE5">
      <w:fldChar w:fldCharType="end"/>
    </w:r>
  </w:p>
  <w:p w:rsidR="00D51458" w:rsidP="00D51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458" w:rsidRPr="00063CE5" w:rsidP="00063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E5" w:rsidRPr="002D2AF8" w:rsidP="00D51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MSS405015 Manage relationships with non-customer external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3CE5" w:rsidP="00D514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58" w:rsidRPr="002D2AF8" w:rsidP="00D51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3CE5">
      <w:t>MSS405015 Manage relationships with non-customer external organisations</w:t>
    </w:r>
    <w:r w:rsidR="00063C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3CE5">
      <w:rPr>
        <w:noProof/>
      </w:rPr>
      <w:t>2 March 2025</w:t>
    </w:r>
    <w:r>
      <w:fldChar w:fldCharType="end"/>
    </w:r>
  </w:p>
  <w:p w:rsidR="00D51458" w:rsidP="00D51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BA6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4D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458"/>
  </w:style>
  <w:style w:type="character" w:customStyle="1" w:styleId="Heading1Char">
    <w:name w:val="Heading 1 Char"/>
    <w:basedOn w:val="DefaultParagraphFont"/>
    <w:link w:val="Heading1"/>
    <w:rsid w:val="00D51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4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458"/>
    <w:rPr>
      <w:b/>
      <w:spacing w:val="0"/>
    </w:rPr>
  </w:style>
  <w:style w:type="paragraph" w:customStyle="1" w:styleId="SuperHeading">
    <w:name w:val="SuperHeading"/>
    <w:basedOn w:val="Normal"/>
    <w:rsid w:val="00D51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4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458"/>
    <w:rPr>
      <w:i/>
    </w:rPr>
  </w:style>
  <w:style w:type="paragraph" w:styleId="Caption">
    <w:name w:val="caption"/>
    <w:basedOn w:val="BodyText"/>
    <w:next w:val="Normal"/>
    <w:qFormat/>
    <w:rsid w:val="00D51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458"/>
  </w:style>
  <w:style w:type="paragraph" w:styleId="TableofFigures">
    <w:name w:val="table of figures"/>
    <w:basedOn w:val="Normal"/>
    <w:next w:val="Normal"/>
    <w:semiHidden/>
    <w:rsid w:val="00D51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4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458"/>
    <w:rPr>
      <w:rFonts w:ascii="Wingdings" w:hAnsi="Wingdings"/>
    </w:rPr>
  </w:style>
  <w:style w:type="paragraph" w:customStyle="1" w:styleId="TableHeading">
    <w:name w:val="Table Heading"/>
    <w:basedOn w:val="HeadingBase"/>
    <w:rsid w:val="00D51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458"/>
    <w:rPr>
      <w:color w:val="0033CC"/>
      <w:u w:val="none"/>
    </w:rPr>
  </w:style>
  <w:style w:type="paragraph" w:customStyle="1" w:styleId="BodyTextRight">
    <w:name w:val="Body Text Right"/>
    <w:basedOn w:val="BodyText"/>
    <w:rsid w:val="00D51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4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458"/>
    <w:rPr>
      <w:sz w:val="32"/>
    </w:rPr>
  </w:style>
  <w:style w:type="paragraph" w:customStyle="1" w:styleId="HeadingProcedure">
    <w:name w:val="Heading Procedure"/>
    <w:basedOn w:val="HeadingBase"/>
    <w:next w:val="Normal"/>
    <w:rsid w:val="00D51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458"/>
    <w:pPr>
      <w:spacing w:before="60" w:after="60"/>
    </w:pPr>
  </w:style>
  <w:style w:type="paragraph" w:styleId="ListContinue">
    <w:name w:val="List Continue"/>
    <w:basedOn w:val="List"/>
    <w:rsid w:val="00D51458"/>
    <w:pPr>
      <w:ind w:firstLine="0"/>
    </w:pPr>
  </w:style>
  <w:style w:type="paragraph" w:customStyle="1" w:styleId="ListNote">
    <w:name w:val="List Note"/>
    <w:basedOn w:val="List"/>
    <w:rsid w:val="00D51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458"/>
    <w:rPr>
      <w:rFonts w:ascii="Courier New" w:hAnsi="Courier New"/>
    </w:rPr>
  </w:style>
  <w:style w:type="paragraph" w:customStyle="1" w:styleId="NoteBullet">
    <w:name w:val="Note Bullet"/>
    <w:basedOn w:val="Note"/>
    <w:rsid w:val="00D51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4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458"/>
    <w:rPr>
      <w:b/>
      <w:smallCaps/>
    </w:rPr>
  </w:style>
  <w:style w:type="paragraph" w:customStyle="1" w:styleId="TableListNumber">
    <w:name w:val="Table List Number"/>
    <w:basedOn w:val="ListNumber"/>
    <w:rsid w:val="00D51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458"/>
    <w:pPr>
      <w:numPr>
        <w:numId w:val="8"/>
      </w:numPr>
    </w:pPr>
  </w:style>
  <w:style w:type="paragraph" w:customStyle="1" w:styleId="ListAlpha2">
    <w:name w:val="List Alpha 2"/>
    <w:basedOn w:val="List2"/>
    <w:rsid w:val="00D51458"/>
    <w:pPr>
      <w:numPr>
        <w:numId w:val="7"/>
      </w:numPr>
    </w:pPr>
  </w:style>
  <w:style w:type="paragraph" w:styleId="List2">
    <w:name w:val="List 2"/>
    <w:basedOn w:val="BodyText"/>
    <w:rsid w:val="00D51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4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4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458"/>
    <w:pPr>
      <w:numPr>
        <w:numId w:val="3"/>
      </w:numPr>
    </w:pPr>
  </w:style>
  <w:style w:type="paragraph" w:styleId="ListContinue2">
    <w:name w:val="List Continue 2"/>
    <w:basedOn w:val="List2"/>
    <w:rsid w:val="00D51458"/>
    <w:pPr>
      <w:ind w:firstLine="0"/>
    </w:pPr>
  </w:style>
  <w:style w:type="paragraph" w:styleId="ListContinue3">
    <w:name w:val="List Continue 3"/>
    <w:basedOn w:val="List3"/>
    <w:rsid w:val="00D51458"/>
    <w:pPr>
      <w:ind w:left="1021" w:firstLine="0"/>
    </w:pPr>
  </w:style>
  <w:style w:type="paragraph" w:styleId="ListContinue4">
    <w:name w:val="List Continue 4"/>
    <w:basedOn w:val="List4"/>
    <w:rsid w:val="00D51458"/>
    <w:pPr>
      <w:ind w:firstLine="0"/>
    </w:pPr>
  </w:style>
  <w:style w:type="paragraph" w:styleId="ListContinue5">
    <w:name w:val="List Continue 5"/>
    <w:basedOn w:val="List5"/>
    <w:rsid w:val="00D51458"/>
    <w:pPr>
      <w:ind w:firstLine="0"/>
    </w:pPr>
  </w:style>
  <w:style w:type="paragraph" w:styleId="ListNumber3">
    <w:name w:val="List Number 3"/>
    <w:basedOn w:val="List3"/>
    <w:rsid w:val="00D51458"/>
    <w:pPr>
      <w:numPr>
        <w:numId w:val="4"/>
      </w:numPr>
    </w:pPr>
  </w:style>
  <w:style w:type="paragraph" w:styleId="ListNumber4">
    <w:name w:val="List Number 4"/>
    <w:basedOn w:val="List4"/>
    <w:rsid w:val="00D51458"/>
    <w:pPr>
      <w:numPr>
        <w:numId w:val="5"/>
      </w:numPr>
    </w:pPr>
  </w:style>
  <w:style w:type="paragraph" w:styleId="ListNumber5">
    <w:name w:val="List Number 5"/>
    <w:basedOn w:val="List5"/>
    <w:rsid w:val="00D51458"/>
    <w:pPr>
      <w:numPr>
        <w:numId w:val="6"/>
      </w:numPr>
    </w:pPr>
  </w:style>
  <w:style w:type="paragraph" w:styleId="BlockText">
    <w:name w:val="Block Text"/>
    <w:basedOn w:val="Normal"/>
    <w:rsid w:val="00D51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458"/>
    <w:rPr>
      <w:sz w:val="16"/>
      <w:vertAlign w:val="superscript"/>
    </w:rPr>
  </w:style>
  <w:style w:type="character" w:customStyle="1" w:styleId="Symbols">
    <w:name w:val="Symbols"/>
    <w:basedOn w:val="DefaultParagraphFont"/>
    <w:rsid w:val="00D51458"/>
    <w:rPr>
      <w:rFonts w:ascii="Symbol" w:hAnsi="Symbol"/>
    </w:rPr>
  </w:style>
  <w:style w:type="character" w:customStyle="1" w:styleId="MenuOptions">
    <w:name w:val="Menu Options"/>
    <w:basedOn w:val="DefaultParagraphFont"/>
    <w:rsid w:val="00D51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458"/>
    <w:rPr>
      <w:b/>
    </w:rPr>
  </w:style>
  <w:style w:type="character" w:customStyle="1" w:styleId="Underlined">
    <w:name w:val="Underlined"/>
    <w:basedOn w:val="DefaultParagraphFont"/>
    <w:rsid w:val="00D51458"/>
    <w:rPr>
      <w:u w:val="single"/>
    </w:rPr>
  </w:style>
  <w:style w:type="paragraph" w:customStyle="1" w:styleId="TableBodyTextRight">
    <w:name w:val="Table Body Text Right"/>
    <w:basedOn w:val="TableBodyText"/>
    <w:rsid w:val="00D51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458"/>
    <w:rPr>
      <w:sz w:val="18"/>
    </w:rPr>
  </w:style>
  <w:style w:type="paragraph" w:customStyle="1" w:styleId="BodySmallRight">
    <w:name w:val="Body Small Right"/>
    <w:basedOn w:val="BodyTextRight"/>
    <w:rsid w:val="00D51458"/>
    <w:rPr>
      <w:sz w:val="18"/>
      <w:szCs w:val="18"/>
    </w:rPr>
  </w:style>
  <w:style w:type="paragraph" w:customStyle="1" w:styleId="MarginEdition">
    <w:name w:val="Margin Edition"/>
    <w:basedOn w:val="MarginNote"/>
    <w:rsid w:val="00D51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458"/>
    <w:rPr>
      <w:sz w:val="2"/>
      <w:szCs w:val="2"/>
    </w:rPr>
  </w:style>
  <w:style w:type="character" w:customStyle="1" w:styleId="Small">
    <w:name w:val="Small"/>
    <w:basedOn w:val="DefaultParagraphFont"/>
    <w:rsid w:val="00D51458"/>
    <w:rPr>
      <w:sz w:val="16"/>
    </w:rPr>
  </w:style>
  <w:style w:type="paragraph" w:customStyle="1" w:styleId="WideTable">
    <w:name w:val="Wide Table"/>
    <w:basedOn w:val="Normal"/>
    <w:rsid w:val="00D51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458"/>
  </w:style>
  <w:style w:type="paragraph" w:styleId="Quote">
    <w:name w:val="Quote"/>
    <w:basedOn w:val="Heading1"/>
    <w:link w:val="QuoteChar"/>
    <w:qFormat/>
    <w:rsid w:val="00D51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458"/>
    <w:pPr>
      <w:pageBreakBefore/>
    </w:pPr>
  </w:style>
  <w:style w:type="paragraph" w:customStyle="1" w:styleId="Border">
    <w:name w:val="Border"/>
    <w:basedOn w:val="Normal"/>
    <w:qFormat/>
    <w:rsid w:val="00D51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458"/>
    <w:rPr>
      <w:u w:val="single"/>
    </w:rPr>
  </w:style>
  <w:style w:type="character" w:customStyle="1" w:styleId="BoldandItalics">
    <w:name w:val="Bold and Italics"/>
    <w:qFormat/>
    <w:rsid w:val="00D51458"/>
    <w:rPr>
      <w:b/>
      <w:i/>
      <w:u w:val="none"/>
    </w:rPr>
  </w:style>
  <w:style w:type="paragraph" w:styleId="BalloonText">
    <w:name w:val="Balloon Text"/>
    <w:basedOn w:val="Normal"/>
    <w:link w:val="BalloonTextChar"/>
    <w:rsid w:val="00D51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458"/>
    <w:pPr>
      <w:spacing w:before="0" w:after="0"/>
    </w:pPr>
  </w:style>
  <w:style w:type="paragraph" w:customStyle="1" w:styleId="BodyTextBold">
    <w:name w:val="Body Text Bold"/>
    <w:basedOn w:val="BodyText"/>
    <w:qFormat/>
    <w:rsid w:val="00D51458"/>
    <w:rPr>
      <w:b/>
    </w:rPr>
  </w:style>
  <w:style w:type="character" w:styleId="Hyperlink">
    <w:name w:val="Hyperlink"/>
    <w:basedOn w:val="DefaultParagraphFont"/>
    <w:uiPriority w:val="99"/>
    <w:unhideWhenUsed/>
    <w:rsid w:val="00063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4468</Characters>
  <Application>Microsoft Office Word</Application>
  <DocSecurity>0</DocSecurity>
  <Lines>154</Lines>
  <Paragraphs>96</Paragraphs>
  <ScaleCrop>false</ScaleCrop>
  <Company>Author-it Software Corporation Ltd.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MSS405015 Manage relationships with non-customer external organisations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2025-03-01T17:38:00Z</dcterms:created>
  <dcterms:modified xsi:type="dcterms:W3CDTF">2025-03-01T17:38:00Z</dcterms:modified>
</cp:coreProperties>
</file>