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912" w:rsidP="00575912">
      <w:pPr>
        <w:pStyle w:val="Title"/>
      </w:pPr>
      <w:r>
        <w:fldChar w:fldCharType="begin"/>
      </w:r>
      <w:r>
        <w:instrText xml:space="preserve"> TITLE   \* MERGEFORMAT </w:instrText>
      </w:r>
      <w:r>
        <w:fldChar w:fldCharType="separate"/>
      </w:r>
      <w:r>
        <w:t>MSS405007 Introduce competitive systems and practices to a small or medium enterprise</w:t>
      </w:r>
      <w:r>
        <w:fldChar w:fldCharType="end"/>
      </w:r>
    </w:p>
    <w:p w:rsidR="00575912" w:rsidP="00575912">
      <w:pPr>
        <w:pStyle w:val="Version"/>
        <w:sectPr w:rsidSect="00CD1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9EA" w:rsidP="00CD19EA">
      <w:pPr>
        <w:pStyle w:val="SuperHeading"/>
      </w:pPr>
      <w:r w:rsidRPr="00CD19EA">
        <w:t>MSS405007 Int</w:t>
      </w:r>
      <w:r w:rsidRPr="00CD19EA">
        <w:t>roduce competitive systems and practices to a small or medium enterprise</w:t>
      </w:r>
    </w:p>
    <w:p w:rsidR="00000000" w:rsidRPr="00CD19EA" w:rsidP="00CD19EA">
      <w:pPr>
        <w:pStyle w:val="Heading1"/>
      </w:pPr>
      <w:bookmarkStart w:id="1" w:name="O_921081"/>
      <w:bookmarkEnd w:id="1"/>
      <w:r w:rsidRPr="00CD19EA">
        <w:t>Modification History</w:t>
      </w:r>
    </w:p>
    <w:p w:rsidR="00000000" w:rsidRPr="00CD19EA" w:rsidP="00575912">
      <w:pPr>
        <w:pStyle w:val="BodyText"/>
      </w:pPr>
      <w:r w:rsidRPr="00CD19EA">
        <w:t>Release 1. Supersedes and is equivalent to MSS405007A Introduce competitive systems and practices to a small or medium enterprise</w:t>
      </w:r>
    </w:p>
    <w:p w:rsidR="00000000" w:rsidRPr="00CD19EA" w:rsidP="00CD19EA">
      <w:pPr>
        <w:pStyle w:val="Heading1"/>
      </w:pPr>
      <w:bookmarkStart w:id="2" w:name="O_921089"/>
      <w:bookmarkEnd w:id="2"/>
      <w:r w:rsidRPr="00CD19EA">
        <w:t>Application</w:t>
      </w:r>
    </w:p>
    <w:p w:rsidR="00000000" w:rsidRPr="00CD19EA" w:rsidP="00575912">
      <w:pPr>
        <w:pStyle w:val="BodyText"/>
      </w:pPr>
      <w:r w:rsidRPr="00CD19EA">
        <w:t>This unit of competency covers the skills and knowledge required to introduce competitive systems and practices into a small or medium operations enterprise (SME). The unit may also apply to any small or medium not-for-profit organisati</w:t>
      </w:r>
      <w:r w:rsidRPr="00CD19EA">
        <w:t>on seeking to improve their processes through competitive systems and practices. The unit covers any constraints that may be placed on how competitive systems and practices are introduced and which aspects of competitive systems and practices are introduce</w:t>
      </w:r>
      <w:r w:rsidRPr="00CD19EA">
        <w:t xml:space="preserve">d due to the limitations of being a SME. </w:t>
      </w:r>
    </w:p>
    <w:p w:rsidR="00000000" w:rsidRPr="00CD19EA" w:rsidP="00575912">
      <w:pPr>
        <w:pStyle w:val="BodyText"/>
      </w:pPr>
      <w:r w:rsidRPr="00CD19EA">
        <w:t>This unit requires the application of skills associated with problem solving, initiative, enterprise, planning and organising in order to determine competitive systems and practices processes appropriate for a sma</w:t>
      </w:r>
      <w:r w:rsidRPr="00CD19EA">
        <w:t>ll business environment. This unit also requires communication and analysis skills to gather information about processes and implement competitive systems and practices strategies.</w:t>
      </w:r>
    </w:p>
    <w:p w:rsidR="00000000" w:rsidRPr="00CD19EA" w:rsidP="00575912">
      <w:pPr>
        <w:pStyle w:val="BodyText"/>
      </w:pPr>
      <w:r w:rsidRPr="00CD19EA">
        <w:t>No licensing, legislative or certification requirements apply to this unit</w:t>
      </w:r>
      <w:r w:rsidRPr="00CD19EA">
        <w:t xml:space="preserve"> at the time of publication.</w:t>
      </w:r>
    </w:p>
    <w:p w:rsidR="00000000" w:rsidRPr="00CD19EA" w:rsidP="00CD19EA">
      <w:pPr>
        <w:pStyle w:val="Heading1"/>
      </w:pPr>
      <w:bookmarkStart w:id="3" w:name="O_921088"/>
      <w:bookmarkEnd w:id="3"/>
      <w:r w:rsidRPr="00CD19EA">
        <w:t>Pre-requisite Unit</w:t>
      </w:r>
    </w:p>
    <w:p w:rsidR="00000000" w:rsidRPr="00CD19EA" w:rsidP="00575912">
      <w:pPr>
        <w:pStyle w:val="BodyText"/>
      </w:pPr>
      <w:r w:rsidRPr="00CD19EA">
        <w:t>Nil</w:t>
      </w:r>
    </w:p>
    <w:p w:rsidR="00000000" w:rsidRPr="00CD19EA" w:rsidP="00CD19EA">
      <w:pPr>
        <w:pStyle w:val="Heading1"/>
      </w:pPr>
      <w:bookmarkStart w:id="4" w:name="O_921087"/>
      <w:bookmarkEnd w:id="4"/>
      <w:r w:rsidRPr="00CD19EA">
        <w:t>Competency Field</w:t>
      </w:r>
    </w:p>
    <w:p w:rsidR="00000000" w:rsidRPr="00CD19EA" w:rsidP="00575912">
      <w:pPr>
        <w:pStyle w:val="BodyText"/>
      </w:pPr>
      <w:r w:rsidRPr="00CD19EA">
        <w:t>Competitive systems and practices</w:t>
      </w:r>
    </w:p>
    <w:p w:rsidR="00000000" w:rsidRPr="00CD19EA" w:rsidP="00CD19EA">
      <w:pPr>
        <w:pStyle w:val="Heading1"/>
      </w:pPr>
      <w:bookmarkStart w:id="5" w:name="O_921086"/>
      <w:bookmarkEnd w:id="5"/>
      <w:r w:rsidRPr="00CD19EA">
        <w:t>Unit Sector</w:t>
      </w:r>
    </w:p>
    <w:p w:rsidR="00000000" w:rsidRPr="00CD19EA" w:rsidP="00575912">
      <w:pPr>
        <w:pStyle w:val="BodyText"/>
      </w:pPr>
      <w:r w:rsidRPr="00CD19EA">
        <w:t>Not applicable</w:t>
      </w:r>
    </w:p>
    <w:p w:rsidR="00000000" w:rsidRPr="00CD19EA" w:rsidP="00CD19EA">
      <w:pPr>
        <w:pStyle w:val="Heading1"/>
      </w:pPr>
      <w:bookmarkStart w:id="6" w:name="O_921085"/>
      <w:bookmarkEnd w:id="6"/>
      <w:r w:rsidRPr="00CD19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19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 xml:space="preserve">Elements describe the </w:t>
            </w:r>
            <w:r w:rsidRPr="00CD19EA">
              <w:t>es</w:t>
            </w:r>
            <w:r w:rsidRPr="00CD19EA">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 xml:space="preserve">Performance criteria describe the performance needed to </w:t>
            </w:r>
            <w:r w:rsidRPr="00CD19EA">
              <w:t>demonstrate achievement of the element.</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19EA" w:rsidP="00CD19EA">
            <w:pPr>
              <w:pStyle w:val="BodyText"/>
            </w:pPr>
            <w:r w:rsidRPr="00CD19EA">
              <w:t>1</w:t>
            </w:r>
          </w:p>
        </w:tc>
        <w:tc>
          <w:tcPr>
            <w:tcW w:w="1962" w:type="dxa"/>
            <w:vMerge w:val="restart"/>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Analyse the current operations systems and processes</w:t>
            </w: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1.1</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Review the reasons for introducing competitive systems and practices and confirm the expected benefits with relevant stakeholders.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1.2</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Determine any internal limiting factors which will constrain the introduction of competitive systems and practices.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1.3</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Determine any external limiting factors which will constrain the introduction of competitive systems and practices.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1.4</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Quantify expected returns from achieving the benefits of introducing competitive systems and practices.</w:t>
            </w:r>
          </w:p>
        </w:tc>
      </w:tr>
      <w:tr w:rsidTr="00CD19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19EA" w:rsidP="00CD19EA">
            <w:pPr>
              <w:pStyle w:val="BodyText"/>
            </w:pPr>
            <w:r w:rsidRPr="00CD19EA">
              <w:t>2</w:t>
            </w:r>
          </w:p>
        </w:tc>
        <w:tc>
          <w:tcPr>
            <w:tcW w:w="1962" w:type="dxa"/>
            <w:vMerge w:val="restart"/>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Develop strategi</w:t>
            </w:r>
            <w:r w:rsidRPr="00CD19EA">
              <w:rPr>
                <w:rStyle w:val="SpecialBold"/>
              </w:rPr>
              <w:t>c and tactical plans to introduce competitive systems and practices to the SME</w:t>
            </w: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2.1</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Develop a strategic plan for the SME that takes into account the nature of its business and relationships with suppliers and customers.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2.2</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Where required, seek authority for the implementation of the strategic plan.</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2.3</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Identify components of competitive strategy which will yield quick returns.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2.4</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Identify actions which will free up required resources to allow for the introduction of competitive systems and practices.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2.5</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Develop achievable tactical plans which are compatible with strategy.</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2.6</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Develop key performance indicators (KPIs) for str</w:t>
            </w:r>
            <w:r w:rsidRPr="00CD19EA">
              <w:t>ategic and tactical plans.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2.7</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Consult with relevant stakeholders to confirm tactical plans.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2.8</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Prioritise plans for order of implementation.</w:t>
            </w:r>
          </w:p>
        </w:tc>
      </w:tr>
      <w:tr w:rsidTr="00CD19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19EA" w:rsidP="00CD19EA">
            <w:pPr>
              <w:pStyle w:val="BodyText"/>
            </w:pPr>
            <w:r w:rsidRPr="00CD19EA">
              <w:t>3</w:t>
            </w:r>
          </w:p>
        </w:tc>
        <w:tc>
          <w:tcPr>
            <w:tcW w:w="1962" w:type="dxa"/>
            <w:vMerge w:val="restart"/>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 xml:space="preserve">Implement competitive systems and </w:t>
            </w:r>
            <w:r w:rsidRPr="00CD19EA">
              <w:rPr>
                <w:rStyle w:val="SpecialBold"/>
              </w:rPr>
              <w:t>practices</w:t>
            </w: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3.1</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Implement priority tactical plan.</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3.2</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Determine benefits from change.</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3.3</w:t>
            </w:r>
          </w:p>
        </w:tc>
        <w:tc>
          <w:tcPr>
            <w:tcW w:w="561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Use benefits from priority plan to assist in the implementation of further tactical plans.</w:t>
            </w:r>
          </w:p>
        </w:tc>
      </w:tr>
      <w:tr w:rsidTr="00CD19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3.4</w:t>
            </w:r>
          </w:p>
        </w:tc>
        <w:tc>
          <w:tcPr>
            <w:tcW w:w="5610" w:type="dxa"/>
            <w:tcBorders>
              <w:top w:val="nil"/>
              <w:left w:val="nil"/>
              <w:bottom w:val="nil"/>
              <w:right w:val="nil"/>
            </w:tcBorders>
            <w:tcMar>
              <w:top w:w="0" w:type="dxa"/>
              <w:left w:w="62" w:type="dxa"/>
              <w:bottom w:w="0" w:type="dxa"/>
              <w:right w:w="62" w:type="dxa"/>
            </w:tcMar>
          </w:tcPr>
          <w:p w:rsidR="00000000" w:rsidRPr="00CD19EA" w:rsidP="00CD19EA">
            <w:pPr>
              <w:pStyle w:val="BodyText"/>
            </w:pPr>
            <w:r w:rsidRPr="00CD19EA">
              <w:t>Review progress towards strategic objectives and adjust plans, as appropriate, in consultation with relevant stakeholde</w:t>
            </w:r>
            <w:r w:rsidRPr="00CD19EA">
              <w:t>rs.</w:t>
            </w:r>
          </w:p>
        </w:tc>
      </w:tr>
    </w:tbl>
    <w:p w:rsidR="00000000" w:rsidRPr="00CD19EA" w:rsidP="00CD19EA">
      <w:pPr>
        <w:pStyle w:val="BodyText"/>
      </w:pPr>
    </w:p>
    <w:p w:rsidR="00000000" w:rsidRPr="00CD19EA" w:rsidP="00CD19EA">
      <w:pPr>
        <w:pStyle w:val="AllowPageBreak"/>
      </w:pPr>
    </w:p>
    <w:p w:rsidR="00000000" w:rsidRPr="00CD19EA" w:rsidP="00CD19EA">
      <w:pPr>
        <w:pStyle w:val="Heading1"/>
      </w:pPr>
      <w:bookmarkStart w:id="7" w:name="O_921084"/>
      <w:bookmarkEnd w:id="7"/>
      <w:r w:rsidRPr="00CD19EA">
        <w:t>Foundation Skills</w:t>
      </w:r>
    </w:p>
    <w:p w:rsidR="00000000" w:rsidRPr="00CD19EA" w:rsidP="00575912">
      <w:pPr>
        <w:pStyle w:val="BodyText"/>
      </w:pPr>
      <w:r w:rsidRPr="00CD19EA">
        <w:t>This section describes those required skills (language, literacy and numeracy) that are essential to performance.</w:t>
      </w:r>
    </w:p>
    <w:p w:rsidR="00000000" w:rsidRPr="00CD19EA" w:rsidP="00575912">
      <w:pPr>
        <w:pStyle w:val="BodyText"/>
      </w:pPr>
      <w:r w:rsidRPr="00CD19EA">
        <w:t>Foundation skills essential to performance are explicit in the performance criteria of this unit of competency.</w:t>
      </w:r>
    </w:p>
    <w:p w:rsidR="00000000" w:rsidRPr="00CD19EA" w:rsidP="00CD19EA">
      <w:pPr>
        <w:pStyle w:val="Heading1"/>
      </w:pPr>
      <w:bookmarkStart w:id="8" w:name="O_921083"/>
      <w:bookmarkEnd w:id="8"/>
      <w:r w:rsidRPr="00CD19EA">
        <w:t>Range of Conditions</w:t>
      </w:r>
    </w:p>
    <w:tbl>
      <w:tblPr>
        <w:tblW w:w="0" w:type="auto"/>
        <w:tblLayout w:type="fixed"/>
        <w:tblCellMar>
          <w:left w:w="62" w:type="dxa"/>
          <w:right w:w="62" w:type="dxa"/>
        </w:tblCellMar>
        <w:tblLook w:val="0000"/>
      </w:tblPr>
      <w:tblGrid>
        <w:gridCol w:w="2212"/>
        <w:gridCol w:w="6860"/>
      </w:tblGrid>
      <w:tr w:rsidTr="00CD19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t>This field allows for different work environments and conditions that may affect performance. Essential ope</w:t>
            </w:r>
            <w:r w:rsidRPr="00CD19EA">
              <w:t>rating conditions that may be present (depending on the work situation, needs of the candidate, accessibility of the item, and local industry and regional contexts) are included.</w:t>
            </w: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Competitive systems and practices include one or more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lean operations</w:t>
            </w:r>
          </w:p>
          <w:p w:rsidR="00000000" w:rsidRPr="00CD19EA" w:rsidP="00CD19EA">
            <w:pPr>
              <w:pStyle w:val="ListBullet"/>
            </w:pPr>
            <w:r w:rsidRPr="00CD19EA">
              <w:t>agile operations</w:t>
            </w:r>
          </w:p>
          <w:p w:rsidR="00000000" w:rsidRPr="00CD19EA" w:rsidP="00CD19EA">
            <w:pPr>
              <w:pStyle w:val="ListBullet"/>
            </w:pPr>
            <w:r w:rsidRPr="00CD19EA">
              <w:t>preventative and predictive maintenance approaches</w:t>
            </w:r>
          </w:p>
          <w:p w:rsidR="00000000" w:rsidRPr="00CD19EA" w:rsidP="00CD19EA">
            <w:pPr>
              <w:pStyle w:val="ListBullet"/>
            </w:pPr>
            <w:r w:rsidRPr="00CD19EA">
              <w:t>statistical process control systems, including six sigma and three sigma</w:t>
            </w:r>
          </w:p>
          <w:p w:rsidR="00000000" w:rsidRPr="00CD19EA" w:rsidP="00CD19EA">
            <w:pPr>
              <w:pStyle w:val="ListBullet"/>
            </w:pPr>
            <w:r w:rsidRPr="00CD19EA">
              <w:t>JIT, kanban and other pull-related operations control systems</w:t>
            </w:r>
          </w:p>
          <w:p w:rsidR="00000000" w:rsidRPr="00CD19EA" w:rsidP="00CD19EA">
            <w:pPr>
              <w:pStyle w:val="ListBullet"/>
            </w:pPr>
            <w:r w:rsidRPr="00CD19EA">
              <w:t>supply, value, and</w:t>
            </w:r>
            <w:r w:rsidRPr="00CD19EA">
              <w:t xml:space="preserve"> demand chain monitoring and analysis</w:t>
            </w:r>
          </w:p>
          <w:p w:rsidR="00000000" w:rsidRPr="00CD19EA" w:rsidP="00CD19EA">
            <w:pPr>
              <w:pStyle w:val="ListBullet"/>
            </w:pPr>
            <w:r w:rsidRPr="00CD19EA">
              <w:t xml:space="preserve">5S </w:t>
            </w:r>
          </w:p>
          <w:p w:rsidR="00000000" w:rsidRPr="00CD19EA" w:rsidP="00CD19EA">
            <w:pPr>
              <w:pStyle w:val="ListBullet"/>
            </w:pPr>
            <w:r w:rsidRPr="00CD19EA">
              <w:t>continuous improvement (kaizen)</w:t>
            </w:r>
          </w:p>
          <w:p w:rsidR="00000000" w:rsidRPr="00CD19EA" w:rsidP="00CD19EA">
            <w:pPr>
              <w:pStyle w:val="ListBullet"/>
            </w:pPr>
            <w:r w:rsidRPr="00CD19EA">
              <w:t>breakthrough improvement (kaizen blitz)</w:t>
            </w:r>
          </w:p>
          <w:p w:rsidR="00000000" w:rsidRPr="00CD19EA" w:rsidP="00CD19EA">
            <w:pPr>
              <w:pStyle w:val="ListBullet"/>
            </w:pPr>
            <w:r w:rsidRPr="00CD19EA">
              <w:t>cause/effect diagrams</w:t>
            </w:r>
          </w:p>
          <w:p w:rsidR="00000000" w:rsidRPr="00CD19EA" w:rsidP="00CD19EA">
            <w:pPr>
              <w:pStyle w:val="ListBullet"/>
            </w:pPr>
            <w:r w:rsidRPr="00CD19EA">
              <w:t>overall equipment effectiveness (OEE)</w:t>
            </w:r>
          </w:p>
          <w:p w:rsidR="00000000" w:rsidRPr="00CD19EA" w:rsidP="00CD19EA">
            <w:pPr>
              <w:pStyle w:val="ListBullet"/>
            </w:pPr>
            <w:r w:rsidRPr="00CD19EA">
              <w:t>takt time</w:t>
            </w:r>
          </w:p>
          <w:p w:rsidR="00000000" w:rsidRPr="00CD19EA" w:rsidP="00CD19EA">
            <w:pPr>
              <w:pStyle w:val="ListBullet"/>
            </w:pPr>
            <w:r w:rsidRPr="00CD19EA">
              <w:t>process mapping</w:t>
            </w:r>
          </w:p>
          <w:p w:rsidR="00000000" w:rsidRPr="00CD19EA" w:rsidP="00CD19EA">
            <w:pPr>
              <w:pStyle w:val="ListBullet"/>
            </w:pPr>
            <w:r w:rsidRPr="00CD19EA">
              <w:t xml:space="preserve">problem solving </w:t>
            </w:r>
          </w:p>
          <w:p w:rsidR="00000000" w:rsidRPr="00CD19EA" w:rsidP="00CD19EA">
            <w:pPr>
              <w:pStyle w:val="ListBullet"/>
            </w:pPr>
            <w:r w:rsidRPr="00CD19EA">
              <w:t>run charts</w:t>
            </w:r>
          </w:p>
          <w:p w:rsidR="00000000" w:rsidRPr="00CD19EA" w:rsidP="00CD19EA">
            <w:pPr>
              <w:pStyle w:val="ListBullet"/>
            </w:pPr>
            <w:r w:rsidRPr="00CD19EA">
              <w:t>standard procedures</w:t>
            </w:r>
          </w:p>
          <w:p w:rsidR="00000000" w:rsidRPr="00CD19EA" w:rsidP="00CD19EA">
            <w:pPr>
              <w:pStyle w:val="ListBullet"/>
            </w:pPr>
            <w:r w:rsidRPr="00CD19EA">
              <w:t xml:space="preserve">current </w:t>
            </w:r>
            <w:r w:rsidRPr="00CD19EA">
              <w:t>reality tree.</w:t>
            </w:r>
          </w:p>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Stakeholders include one or more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managers</w:t>
            </w:r>
          </w:p>
          <w:p w:rsidR="00000000" w:rsidRPr="00CD19EA" w:rsidP="00CD19EA">
            <w:pPr>
              <w:pStyle w:val="ListBullet"/>
            </w:pPr>
            <w:r w:rsidRPr="00CD19EA">
              <w:t>supervisors</w:t>
            </w:r>
          </w:p>
          <w:p w:rsidR="00000000" w:rsidRPr="00CD19EA" w:rsidP="00CD19EA">
            <w:pPr>
              <w:pStyle w:val="ListBullet"/>
            </w:pPr>
            <w:r w:rsidRPr="00CD19EA">
              <w:t>employees and their representatives</w:t>
            </w:r>
          </w:p>
          <w:p w:rsidR="00000000" w:rsidRPr="00CD19EA" w:rsidP="00CD19EA">
            <w:pPr>
              <w:pStyle w:val="ListBullet"/>
            </w:pPr>
            <w:r w:rsidRPr="00CD19EA">
              <w:t>shareholders</w:t>
            </w:r>
          </w:p>
          <w:p w:rsidR="00000000" w:rsidRPr="00CD19EA" w:rsidP="00CD19EA">
            <w:pPr>
              <w:pStyle w:val="ListBullet"/>
            </w:pPr>
            <w:r w:rsidRPr="00CD19EA">
              <w:t>suppliers</w:t>
            </w:r>
          </w:p>
          <w:p w:rsidR="00000000" w:rsidRPr="00CD19EA" w:rsidP="00CD19EA">
            <w:pPr>
              <w:pStyle w:val="ListBullet"/>
            </w:pPr>
            <w:r w:rsidRPr="00CD19EA">
              <w:t>customers</w:t>
            </w:r>
          </w:p>
          <w:p w:rsidR="00000000" w:rsidRPr="00CD19EA" w:rsidP="00CD19EA">
            <w:pPr>
              <w:pStyle w:val="ListBullet"/>
            </w:pPr>
            <w:r w:rsidRPr="00CD19EA">
              <w:t>service providers.</w:t>
            </w:r>
          </w:p>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Internal limiting factors include consideration of all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free cash</w:t>
            </w:r>
          </w:p>
          <w:p w:rsidR="00000000" w:rsidRPr="00CD19EA" w:rsidP="00CD19EA">
            <w:pPr>
              <w:pStyle w:val="ListBullet"/>
            </w:pPr>
            <w:r w:rsidRPr="00CD19EA">
              <w:t>management time and expertise</w:t>
            </w:r>
          </w:p>
          <w:p w:rsidR="00000000" w:rsidRPr="00CD19EA" w:rsidP="00CD19EA">
            <w:pPr>
              <w:pStyle w:val="ListBullet"/>
            </w:pPr>
            <w:r w:rsidRPr="00CD19EA">
              <w:t>machinery</w:t>
            </w:r>
          </w:p>
          <w:p w:rsidR="00000000" w:rsidRPr="00CD19EA" w:rsidP="00CD19EA">
            <w:pPr>
              <w:pStyle w:val="ListBullet"/>
            </w:pPr>
            <w:r w:rsidRPr="00CD19EA">
              <w:t>work organisation and workforce skills and knowledge.</w:t>
            </w:r>
          </w:p>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External limiting factors include consideration of all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 xml:space="preserve">lack of bargaining power </w:t>
            </w:r>
          </w:p>
          <w:p w:rsidR="00000000" w:rsidRPr="00CD19EA" w:rsidP="00CD19EA">
            <w:pPr>
              <w:pStyle w:val="ListBullet"/>
            </w:pPr>
            <w:r w:rsidRPr="00CD19EA">
              <w:t>lack of effective communication</w:t>
            </w:r>
          </w:p>
          <w:p w:rsidR="00000000" w:rsidRPr="00CD19EA" w:rsidP="00CD19EA">
            <w:pPr>
              <w:pStyle w:val="ListBullet"/>
            </w:pPr>
            <w:r w:rsidRPr="00CD19EA">
              <w:t>supplier issues</w:t>
            </w:r>
          </w:p>
          <w:p w:rsidR="00000000" w:rsidRPr="00CD19EA" w:rsidP="00CD19EA">
            <w:pPr>
              <w:pStyle w:val="ListBullet"/>
            </w:pPr>
            <w:r w:rsidRPr="00CD19EA">
              <w:t>customer issues</w:t>
            </w:r>
          </w:p>
          <w:p w:rsidR="00000000" w:rsidRPr="00CD19EA" w:rsidP="00CD19EA">
            <w:pPr>
              <w:pStyle w:val="ListBullet"/>
            </w:pPr>
            <w:r w:rsidRPr="00CD19EA">
              <w:t>financial institution issues</w:t>
            </w:r>
          </w:p>
          <w:p w:rsidR="00000000" w:rsidRPr="00CD19EA" w:rsidP="00CD19EA">
            <w:pPr>
              <w:pStyle w:val="ListBullet"/>
            </w:pPr>
            <w:r w:rsidRPr="00CD19EA">
              <w:t>other factors.</w:t>
            </w:r>
          </w:p>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Expected returns include one or more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cost savings due to more consistent or higher quality</w:t>
            </w:r>
          </w:p>
          <w:p w:rsidR="00000000" w:rsidRPr="00CD19EA" w:rsidP="00CD19EA">
            <w:pPr>
              <w:pStyle w:val="ListBullet"/>
            </w:pPr>
            <w:r w:rsidRPr="00CD19EA">
              <w:t>benefits from greater on-time delivery</w:t>
            </w:r>
          </w:p>
          <w:p w:rsidR="00000000" w:rsidRPr="00CD19EA" w:rsidP="00CD19EA">
            <w:pPr>
              <w:pStyle w:val="ListBullet"/>
            </w:pPr>
            <w:r w:rsidRPr="00CD19EA">
              <w:t>savings from lower inventories and reduction in waste.</w:t>
            </w:r>
          </w:p>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Actions which will free up required resources include one or more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reduction of inventory</w:t>
            </w:r>
          </w:p>
          <w:p w:rsidR="00000000" w:rsidRPr="00CD19EA" w:rsidP="00CD19EA">
            <w:pPr>
              <w:pStyle w:val="ListBullet"/>
            </w:pPr>
            <w:r w:rsidRPr="00CD19EA">
              <w:t>reduction of scrap</w:t>
            </w:r>
          </w:p>
          <w:p w:rsidR="00000000" w:rsidRPr="00CD19EA" w:rsidP="00CD19EA">
            <w:pPr>
              <w:pStyle w:val="ListBullet"/>
            </w:pPr>
            <w:r w:rsidRPr="00CD19EA">
              <w:t>decreased throughput times</w:t>
            </w:r>
          </w:p>
          <w:p w:rsidR="00000000" w:rsidRPr="00CD19EA" w:rsidP="00CD19EA">
            <w:pPr>
              <w:pStyle w:val="ListBullet"/>
            </w:pPr>
            <w:r w:rsidRPr="00CD19EA">
              <w:t>changes in approval processes/delegations</w:t>
            </w:r>
          </w:p>
          <w:p w:rsidR="00000000" w:rsidRPr="00CD19EA" w:rsidP="00CD19EA">
            <w:pPr>
              <w:pStyle w:val="ListBullet"/>
            </w:pPr>
            <w:r w:rsidRPr="00CD19EA">
              <w:t>use of computers instead of paper-based processes</w:t>
            </w:r>
          </w:p>
          <w:p w:rsidR="00000000" w:rsidRPr="00CD19EA" w:rsidP="00CD19EA">
            <w:pPr>
              <w:pStyle w:val="ListBullet"/>
            </w:pPr>
            <w:r w:rsidRPr="00CD19EA">
              <w:t>reduction of muda (waste</w:t>
            </w:r>
            <w:r w:rsidRPr="00CD19EA">
              <w:t>).</w:t>
            </w:r>
          </w:p>
          <w:p w:rsidR="00000000" w:rsidP="00CD19EA">
            <w:pPr>
              <w:pStyle w:val="BodyText"/>
              <w:rPr>
                <w:lang w:val="en-NZ"/>
              </w:rPr>
            </w:pPr>
          </w:p>
        </w:tc>
      </w:tr>
      <w:tr w:rsidTr="00CD19E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D19EA">
            <w:pPr>
              <w:pStyle w:val="BodyText"/>
              <w:rPr>
                <w:lang w:val="en-NZ"/>
              </w:rPr>
            </w:pPr>
            <w:r w:rsidRPr="00CD19EA">
              <w:rPr>
                <w:rStyle w:val="SpecialBold"/>
              </w:rPr>
              <w:t>Prioritising plans includes the consideration of all of:</w:t>
            </w:r>
          </w:p>
        </w:tc>
        <w:tc>
          <w:tcPr>
            <w:tcW w:w="6860" w:type="dxa"/>
            <w:tcBorders>
              <w:top w:val="nil"/>
              <w:left w:val="nil"/>
              <w:bottom w:val="nil"/>
              <w:right w:val="nil"/>
            </w:tcBorders>
            <w:tcMar>
              <w:top w:w="0" w:type="dxa"/>
              <w:left w:w="62" w:type="dxa"/>
              <w:bottom w:w="0" w:type="dxa"/>
              <w:right w:w="62" w:type="dxa"/>
            </w:tcMar>
          </w:tcPr>
          <w:p w:rsidR="00000000" w:rsidRPr="00CD19EA" w:rsidP="00CD19EA">
            <w:pPr>
              <w:pStyle w:val="ListBullet"/>
            </w:pPr>
            <w:r w:rsidRPr="00CD19EA">
              <w:t>greatest benefit, benefit/cost ratio</w:t>
            </w:r>
          </w:p>
          <w:p w:rsidR="00000000" w:rsidRPr="00CD19EA" w:rsidP="00CD19EA">
            <w:pPr>
              <w:pStyle w:val="ListBullet"/>
            </w:pPr>
            <w:r w:rsidRPr="00CD19EA">
              <w:t>ease of implementation</w:t>
            </w:r>
          </w:p>
          <w:p w:rsidR="00000000" w:rsidRPr="00CD19EA" w:rsidP="00CD19EA">
            <w:pPr>
              <w:pStyle w:val="ListBullet"/>
            </w:pPr>
            <w:r w:rsidRPr="00CD19EA">
              <w:t>best fit with strategy</w:t>
            </w:r>
          </w:p>
          <w:p w:rsidR="00000000" w:rsidRPr="00CD19EA" w:rsidP="00CD19EA">
            <w:pPr>
              <w:pStyle w:val="ListBullet"/>
            </w:pPr>
            <w:r w:rsidRPr="00CD19EA">
              <w:t>available resources.</w:t>
            </w:r>
          </w:p>
          <w:p w:rsidR="00000000" w:rsidRPr="00CD19EA" w:rsidP="00CD19EA">
            <w:pPr>
              <w:pStyle w:val="BodyText"/>
            </w:pPr>
          </w:p>
        </w:tc>
      </w:tr>
    </w:tbl>
    <w:p w:rsidR="00000000" w:rsidRPr="00CD19EA" w:rsidP="00CD19EA">
      <w:pPr>
        <w:pStyle w:val="BodyText"/>
      </w:pPr>
    </w:p>
    <w:p w:rsidR="00000000" w:rsidRPr="00CD19EA" w:rsidP="00CD19EA">
      <w:pPr>
        <w:pStyle w:val="AllowPageBreak"/>
      </w:pPr>
    </w:p>
    <w:p w:rsidR="00000000" w:rsidRPr="00CD19EA" w:rsidP="00CD19EA">
      <w:pPr>
        <w:pStyle w:val="Heading1"/>
      </w:pPr>
      <w:bookmarkStart w:id="9" w:name="O_921082"/>
      <w:bookmarkEnd w:id="9"/>
      <w:r w:rsidRPr="00CD19EA">
        <w:t>Unit Mapping Information</w:t>
      </w:r>
    </w:p>
    <w:p w:rsidR="00000000" w:rsidRPr="00CD19EA" w:rsidP="00575912">
      <w:pPr>
        <w:pStyle w:val="BodyText"/>
      </w:pPr>
      <w:r w:rsidRPr="00CD19EA">
        <w:t>Release 1. Supersedes and is equivalent to MSS405007A Introduce competitive systems and practices to a small or medium enterprise</w:t>
      </w:r>
    </w:p>
    <w:p w:rsidR="00000000" w:rsidRPr="00CD19EA" w:rsidP="00CD19EA">
      <w:pPr>
        <w:pStyle w:val="Heading1"/>
      </w:pPr>
      <w:bookmarkStart w:id="10" w:name="O_921075"/>
      <w:bookmarkEnd w:id="10"/>
      <w:r w:rsidRPr="00CD19EA">
        <w:t>Links</w:t>
      </w:r>
    </w:p>
    <w:p w:rsidR="00000000" w:rsidRPr="00CD19EA" w:rsidP="00575912">
      <w:pPr>
        <w:pStyle w:val="BodyText"/>
      </w:pPr>
      <w:r w:rsidRPr="00CD19E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936D1">
        <w:rPr>
          <w:rStyle w:val="Hyperlink"/>
        </w:rPr>
        <w:t>https://vetnet.gov.au/Pages/TrainingDocs.aspx?q=5b04f318-804f-4dc0-9463-c3fb9a3fe998</w:t>
      </w:r>
      <w:r>
        <w:fldChar w:fldCharType="end"/>
      </w:r>
    </w:p>
    <w:p w:rsidR="00000000" w:rsidRPr="00CD19EA" w:rsidP="00CD19EA"/>
    <w:sectPr w:rsidSect="00CD19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EA" w:rsidRPr="00575912" w:rsidP="00575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12" w:rsidP="00CD1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5912" w:rsidP="00CD19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5912" w:rsidP="00CD1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9EA" w:rsidRPr="00575912" w:rsidP="00575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12" w:rsidRPr="002D2AF8" w:rsidP="00CD19EA">
    <w:pPr>
      <w:pStyle w:val="Header"/>
      <w:framePr w:wrap="around"/>
    </w:pPr>
    <w:r>
      <w:fldChar w:fldCharType="begin"/>
    </w:r>
    <w:r>
      <w:instrText xml:space="preserve"> TITLE   \* MERGEFORMAT </w:instrText>
    </w:r>
    <w:r>
      <w:fldChar w:fldCharType="separate"/>
    </w:r>
    <w:r>
      <w:t>MSS405007 Introduce competitive systems and practices to a small or medium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575912" w:rsidP="00CD1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1EC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840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9EA"/>
    <w:pPr>
      <w:spacing w:before="360" w:after="60"/>
      <w:outlineLvl w:val="0"/>
    </w:pPr>
    <w:rPr>
      <w:sz w:val="32"/>
    </w:rPr>
  </w:style>
  <w:style w:type="paragraph" w:styleId="Heading2">
    <w:name w:val="heading 2"/>
    <w:basedOn w:val="HeadingBase"/>
    <w:next w:val="BodyText"/>
    <w:link w:val="Heading2Char"/>
    <w:qFormat/>
    <w:rsid w:val="00CD19EA"/>
    <w:pPr>
      <w:keepLines/>
      <w:spacing w:before="240" w:after="120"/>
      <w:outlineLvl w:val="1"/>
    </w:pPr>
    <w:rPr>
      <w:sz w:val="28"/>
      <w:szCs w:val="40"/>
    </w:rPr>
  </w:style>
  <w:style w:type="paragraph" w:styleId="Heading3">
    <w:name w:val="heading 3"/>
    <w:basedOn w:val="HeadingBase"/>
    <w:next w:val="BodyText"/>
    <w:link w:val="Heading3Char"/>
    <w:qFormat/>
    <w:rsid w:val="00CD19EA"/>
    <w:pPr>
      <w:spacing w:before="180" w:after="120"/>
      <w:outlineLvl w:val="2"/>
    </w:pPr>
    <w:rPr>
      <w:spacing w:val="-10"/>
      <w:kern w:val="32"/>
    </w:rPr>
  </w:style>
  <w:style w:type="paragraph" w:styleId="Heading4">
    <w:name w:val="heading 4"/>
    <w:basedOn w:val="HeadingBase"/>
    <w:next w:val="BodyText"/>
    <w:link w:val="Heading4Char"/>
    <w:qFormat/>
    <w:rsid w:val="00CD19EA"/>
    <w:pPr>
      <w:spacing w:before="160" w:after="120"/>
      <w:outlineLvl w:val="3"/>
    </w:pPr>
    <w:rPr>
      <w:sz w:val="22"/>
    </w:rPr>
  </w:style>
  <w:style w:type="paragraph" w:styleId="Heading5">
    <w:name w:val="heading 5"/>
    <w:basedOn w:val="HeadingBase"/>
    <w:next w:val="Normal"/>
    <w:link w:val="Heading5Char"/>
    <w:qFormat/>
    <w:rsid w:val="00CD19EA"/>
    <w:pPr>
      <w:spacing w:before="80"/>
      <w:outlineLvl w:val="4"/>
    </w:pPr>
    <w:rPr>
      <w:color w:val="918585"/>
      <w:sz w:val="20"/>
    </w:rPr>
  </w:style>
  <w:style w:type="paragraph" w:styleId="Heading6">
    <w:name w:val="heading 6"/>
    <w:basedOn w:val="HeadingBase"/>
    <w:next w:val="Normal"/>
    <w:link w:val="Heading6Char"/>
    <w:qFormat/>
    <w:rsid w:val="00CD19EA"/>
    <w:pPr>
      <w:spacing w:before="60"/>
      <w:outlineLvl w:val="5"/>
    </w:pPr>
    <w:rPr>
      <w:color w:val="918585"/>
      <w:sz w:val="20"/>
    </w:rPr>
  </w:style>
  <w:style w:type="paragraph" w:styleId="Heading7">
    <w:name w:val="heading 7"/>
    <w:basedOn w:val="Normal"/>
    <w:next w:val="Normal"/>
    <w:link w:val="Heading7Char"/>
    <w:qFormat/>
    <w:rsid w:val="00CD19EA"/>
    <w:pPr>
      <w:ind w:left="720"/>
      <w:outlineLvl w:val="6"/>
    </w:pPr>
    <w:rPr>
      <w:i/>
    </w:rPr>
  </w:style>
  <w:style w:type="paragraph" w:styleId="Heading8">
    <w:name w:val="heading 8"/>
    <w:basedOn w:val="Normal"/>
    <w:next w:val="Normal"/>
    <w:link w:val="Heading8Char"/>
    <w:qFormat/>
    <w:rsid w:val="00CD19EA"/>
    <w:pPr>
      <w:ind w:left="720"/>
      <w:outlineLvl w:val="7"/>
    </w:pPr>
    <w:rPr>
      <w:i/>
    </w:rPr>
  </w:style>
  <w:style w:type="paragraph" w:styleId="Heading9">
    <w:name w:val="heading 9"/>
    <w:basedOn w:val="Normal"/>
    <w:next w:val="Normal"/>
    <w:link w:val="Heading9Char"/>
    <w:qFormat/>
    <w:rsid w:val="00CD19EA"/>
    <w:pPr>
      <w:ind w:left="720"/>
      <w:outlineLvl w:val="8"/>
    </w:pPr>
    <w:rPr>
      <w:i/>
    </w:rPr>
  </w:style>
  <w:style w:type="character" w:default="1" w:styleId="DefaultParagraphFont">
    <w:name w:val="Default Paragraph Font"/>
    <w:uiPriority w:val="1"/>
    <w:unhideWhenUsed/>
    <w:rsid w:val="00CD1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9EA"/>
  </w:style>
  <w:style w:type="character" w:customStyle="1" w:styleId="Heading1Char">
    <w:name w:val="Heading 1 Char"/>
    <w:basedOn w:val="DefaultParagraphFont"/>
    <w:link w:val="Heading1"/>
    <w:rsid w:val="00CD19EA"/>
    <w:rPr>
      <w:rFonts w:ascii="Times New Roman" w:eastAsia="Times New Roman" w:hAnsi="Times New Roman" w:cs="Times New Roman"/>
      <w:b/>
      <w:sz w:val="32"/>
      <w:szCs w:val="20"/>
      <w:lang w:eastAsia="en-US"/>
    </w:rPr>
  </w:style>
  <w:style w:type="paragraph" w:styleId="BodyText">
    <w:name w:val="Body Text"/>
    <w:basedOn w:val="Normal"/>
    <w:link w:val="BodyTextChar"/>
    <w:rsid w:val="00CD1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9EA"/>
    <w:rPr>
      <w:rFonts w:ascii="Times New Roman" w:eastAsia="Times New Roman" w:hAnsi="Times New Roman" w:cs="Times New Roman"/>
      <w:sz w:val="24"/>
      <w:lang w:eastAsia="en-US"/>
    </w:rPr>
  </w:style>
  <w:style w:type="paragraph" w:styleId="ListBullet">
    <w:name w:val="List Bullet"/>
    <w:basedOn w:val="List"/>
    <w:rsid w:val="00CD19EA"/>
    <w:pPr>
      <w:numPr>
        <w:numId w:val="11"/>
      </w:numPr>
      <w:tabs>
        <w:tab w:val="clear" w:pos="340"/>
      </w:tabs>
      <w:spacing w:before="40" w:after="40"/>
    </w:pPr>
  </w:style>
  <w:style w:type="character" w:customStyle="1" w:styleId="SpecialBold">
    <w:name w:val="Special Bold"/>
    <w:basedOn w:val="DefaultParagraphFont"/>
    <w:rsid w:val="00CD19EA"/>
    <w:rPr>
      <w:b/>
      <w:spacing w:val="0"/>
    </w:rPr>
  </w:style>
  <w:style w:type="paragraph" w:customStyle="1" w:styleId="SuperHeading">
    <w:name w:val="SuperHeading"/>
    <w:basedOn w:val="Normal"/>
    <w:rsid w:val="00CD19EA"/>
    <w:pPr>
      <w:spacing w:before="240" w:after="120"/>
      <w:outlineLvl w:val="0"/>
    </w:pPr>
    <w:rPr>
      <w:rFonts w:ascii="Times New Roman" w:hAnsi="Times New Roman"/>
      <w:b/>
      <w:sz w:val="32"/>
    </w:rPr>
  </w:style>
  <w:style w:type="paragraph" w:customStyle="1" w:styleId="AllowPageBreak">
    <w:name w:val="AllowPageBreak"/>
    <w:rsid w:val="00CD1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9EA"/>
    <w:rPr>
      <w:rFonts w:ascii="Courier New" w:eastAsia="Times New Roman" w:hAnsi="Courier New" w:cs="Times New Roman"/>
      <w:i/>
      <w:szCs w:val="20"/>
      <w:lang w:eastAsia="en-US"/>
    </w:rPr>
  </w:style>
  <w:style w:type="paragraph" w:customStyle="1" w:styleId="HeadingBase">
    <w:name w:val="Heading Base"/>
    <w:rsid w:val="00CD1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9EA"/>
    <w:pPr>
      <w:tabs>
        <w:tab w:val="right" w:leader="dot" w:pos="9072"/>
      </w:tabs>
      <w:ind w:left="567"/>
    </w:pPr>
    <w:rPr>
      <w:szCs w:val="22"/>
    </w:rPr>
  </w:style>
  <w:style w:type="paragraph" w:customStyle="1" w:styleId="TOCBase">
    <w:name w:val="TOC Base"/>
    <w:rsid w:val="00CD1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9EA"/>
    <w:pPr>
      <w:tabs>
        <w:tab w:val="right" w:leader="dot" w:pos="9072"/>
      </w:tabs>
      <w:spacing w:before="40" w:after="40"/>
      <w:ind w:left="284"/>
    </w:pPr>
    <w:rPr>
      <w:rFonts w:ascii="Times New Roman" w:hAnsi="Times New Roman"/>
    </w:rPr>
  </w:style>
  <w:style w:type="paragraph" w:styleId="TOC1">
    <w:name w:val="toc 1"/>
    <w:basedOn w:val="TOCBase"/>
    <w:next w:val="Normal"/>
    <w:rsid w:val="00CD1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9EA"/>
    <w:rPr>
      <w:rFonts w:ascii="Times New Roman" w:eastAsia="Times New Roman" w:hAnsi="Times New Roman" w:cs="Times New Roman"/>
      <w:sz w:val="16"/>
      <w:lang w:eastAsia="en-US"/>
    </w:rPr>
  </w:style>
  <w:style w:type="paragraph" w:styleId="Title">
    <w:name w:val="Title"/>
    <w:basedOn w:val="HeadingBase"/>
    <w:link w:val="TitleChar"/>
    <w:qFormat/>
    <w:rsid w:val="00CD19EA"/>
    <w:pPr>
      <w:spacing w:before="5040"/>
      <w:jc w:val="center"/>
    </w:pPr>
    <w:rPr>
      <w:sz w:val="48"/>
      <w:szCs w:val="72"/>
      <w:lang w:val="en-US"/>
    </w:rPr>
  </w:style>
  <w:style w:type="character" w:customStyle="1" w:styleId="TitleChar">
    <w:name w:val="Title Char"/>
    <w:basedOn w:val="DefaultParagraphFont"/>
    <w:link w:val="Title"/>
    <w:rsid w:val="00CD1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9EA"/>
    <w:pPr>
      <w:tabs>
        <w:tab w:val="left" w:pos="3600"/>
        <w:tab w:val="left" w:pos="3958"/>
      </w:tabs>
    </w:pPr>
  </w:style>
  <w:style w:type="paragraph" w:styleId="List">
    <w:name w:val="List"/>
    <w:basedOn w:val="BodyText"/>
    <w:next w:val="BodyText"/>
    <w:rsid w:val="00CD19EA"/>
    <w:pPr>
      <w:tabs>
        <w:tab w:val="left" w:pos="340"/>
      </w:tabs>
      <w:spacing w:before="60" w:after="60"/>
      <w:ind w:left="340" w:hanging="340"/>
    </w:pPr>
  </w:style>
  <w:style w:type="paragraph" w:customStyle="1" w:styleId="Note">
    <w:name w:val="Note"/>
    <w:basedOn w:val="BodyText"/>
    <w:rsid w:val="00CD1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9EA"/>
    <w:pPr>
      <w:framePr w:wrap="auto" w:hAnchor="text" w:y="6049"/>
    </w:pPr>
    <w:rPr>
      <w:color w:val="000000"/>
      <w:sz w:val="40"/>
    </w:rPr>
  </w:style>
  <w:style w:type="paragraph" w:customStyle="1" w:styleId="TOCTitle">
    <w:name w:val="TOCTitle"/>
    <w:basedOn w:val="Heading1"/>
    <w:rsid w:val="00CD19EA"/>
    <w:pPr>
      <w:spacing w:after="240"/>
      <w:jc w:val="center"/>
      <w:outlineLvl w:val="9"/>
    </w:pPr>
    <w:rPr>
      <w:caps/>
    </w:rPr>
  </w:style>
  <w:style w:type="paragraph" w:customStyle="1" w:styleId="Version">
    <w:name w:val="Version"/>
    <w:rsid w:val="00CD1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9EA"/>
    <w:pPr>
      <w:numPr>
        <w:numId w:val="12"/>
      </w:numPr>
      <w:tabs>
        <w:tab w:val="clear" w:pos="680"/>
      </w:tabs>
    </w:pPr>
  </w:style>
  <w:style w:type="paragraph" w:styleId="Index1">
    <w:name w:val="index 1"/>
    <w:basedOn w:val="Normal"/>
    <w:next w:val="Normal"/>
    <w:semiHidden/>
    <w:rsid w:val="00CD19EA"/>
    <w:pPr>
      <w:keepNext w:val="0"/>
      <w:tabs>
        <w:tab w:val="right" w:pos="4176"/>
      </w:tabs>
      <w:ind w:left="198" w:hanging="198"/>
    </w:pPr>
    <w:rPr>
      <w:rFonts w:ascii="Garamond" w:hAnsi="Garamond"/>
    </w:rPr>
  </w:style>
  <w:style w:type="paragraph" w:styleId="IndexHeading">
    <w:name w:val="index heading"/>
    <w:basedOn w:val="Normal"/>
    <w:next w:val="Index1"/>
    <w:semiHidden/>
    <w:rsid w:val="00CD19EA"/>
    <w:pPr>
      <w:spacing w:before="120" w:after="120"/>
    </w:pPr>
    <w:rPr>
      <w:rFonts w:ascii="Arial" w:hAnsi="Arial"/>
      <w:b/>
      <w:color w:val="918585"/>
      <w:sz w:val="24"/>
    </w:rPr>
  </w:style>
  <w:style w:type="paragraph" w:styleId="Header">
    <w:name w:val="header"/>
    <w:basedOn w:val="Normal"/>
    <w:link w:val="HeaderChar"/>
    <w:rsid w:val="00CD1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9EA"/>
    <w:rPr>
      <w:rFonts w:ascii="Times New Roman" w:eastAsia="Times New Roman" w:hAnsi="Times New Roman" w:cs="Times New Roman"/>
      <w:sz w:val="16"/>
      <w:szCs w:val="20"/>
      <w:lang w:val="en-GB" w:eastAsia="en-US"/>
    </w:rPr>
  </w:style>
  <w:style w:type="paragraph" w:customStyle="1" w:styleId="Chapter">
    <w:name w:val="Chapter"/>
    <w:basedOn w:val="Normal"/>
    <w:rsid w:val="00CD19EA"/>
    <w:pPr>
      <w:spacing w:before="240"/>
    </w:pPr>
    <w:rPr>
      <w:rFonts w:ascii="Times New Roman" w:hAnsi="Times New Roman"/>
      <w:smallCaps/>
      <w:spacing w:val="80"/>
      <w:sz w:val="28"/>
    </w:rPr>
  </w:style>
  <w:style w:type="paragraph" w:customStyle="1" w:styleId="InChapter">
    <w:name w:val="InChapter"/>
    <w:basedOn w:val="Heading3"/>
    <w:rsid w:val="00CD19EA"/>
    <w:pPr>
      <w:spacing w:after="240"/>
      <w:outlineLvl w:val="9"/>
    </w:pPr>
    <w:rPr>
      <w:noProof/>
    </w:rPr>
  </w:style>
  <w:style w:type="paragraph" w:styleId="Index2">
    <w:name w:val="index 2"/>
    <w:basedOn w:val="Normal"/>
    <w:next w:val="Normal"/>
    <w:semiHidden/>
    <w:rsid w:val="00CD19EA"/>
    <w:pPr>
      <w:tabs>
        <w:tab w:val="right" w:pos="4176"/>
      </w:tabs>
      <w:ind w:left="568" w:hanging="284"/>
    </w:pPr>
    <w:rPr>
      <w:rFonts w:ascii="Garamond" w:hAnsi="Garamond"/>
    </w:rPr>
  </w:style>
  <w:style w:type="paragraph" w:customStyle="1" w:styleId="Byline">
    <w:name w:val="Byline"/>
    <w:rsid w:val="00CD1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9EA"/>
    <w:pPr>
      <w:tabs>
        <w:tab w:val="clear" w:pos="3600"/>
        <w:tab w:val="clear" w:pos="3958"/>
      </w:tabs>
      <w:jc w:val="right"/>
    </w:pPr>
  </w:style>
  <w:style w:type="character" w:styleId="Emphasis">
    <w:name w:val="Emphasis"/>
    <w:basedOn w:val="DefaultParagraphFont"/>
    <w:qFormat/>
    <w:rsid w:val="00CD19EA"/>
    <w:rPr>
      <w:i/>
    </w:rPr>
  </w:style>
  <w:style w:type="paragraph" w:styleId="Caption">
    <w:name w:val="caption"/>
    <w:basedOn w:val="BodyText"/>
    <w:next w:val="Normal"/>
    <w:qFormat/>
    <w:rsid w:val="00CD19EA"/>
    <w:pPr>
      <w:framePr w:w="2268" w:hSpace="181" w:vSpace="181" w:wrap="around" w:vAnchor="text" w:hAnchor="page" w:x="1135" w:y="285" w:anchorLock="1"/>
    </w:pPr>
    <w:rPr>
      <w:i/>
    </w:rPr>
  </w:style>
  <w:style w:type="paragraph" w:customStyle="1" w:styleId="MiniTOCTitle">
    <w:name w:val="MiniTOCTitle"/>
    <w:basedOn w:val="Heading4"/>
    <w:rsid w:val="00CD19EA"/>
    <w:pPr>
      <w:spacing w:before="240"/>
      <w:outlineLvl w:val="9"/>
    </w:pPr>
    <w:rPr>
      <w:noProof/>
      <w:sz w:val="24"/>
    </w:rPr>
  </w:style>
  <w:style w:type="paragraph" w:customStyle="1" w:styleId="MiniTOCItem">
    <w:name w:val="MiniTOCItem"/>
    <w:basedOn w:val="ListBullet"/>
    <w:rsid w:val="00CD19EA"/>
    <w:pPr>
      <w:numPr>
        <w:numId w:val="0"/>
      </w:numPr>
      <w:tabs>
        <w:tab w:val="right" w:leader="dot" w:pos="6521"/>
      </w:tabs>
      <w:spacing w:before="0" w:after="0"/>
    </w:pPr>
  </w:style>
  <w:style w:type="paragraph" w:customStyle="1" w:styleId="TOFTitle">
    <w:name w:val="TOFTitle"/>
    <w:basedOn w:val="TOCTitle"/>
    <w:rsid w:val="00CD19EA"/>
  </w:style>
  <w:style w:type="paragraph" w:styleId="TableofFigures">
    <w:name w:val="table of figures"/>
    <w:basedOn w:val="Normal"/>
    <w:next w:val="Normal"/>
    <w:semiHidden/>
    <w:rsid w:val="00CD19EA"/>
    <w:pPr>
      <w:tabs>
        <w:tab w:val="right" w:leader="dot" w:pos="9072"/>
      </w:tabs>
      <w:ind w:left="970" w:hanging="403"/>
    </w:pPr>
    <w:rPr>
      <w:rFonts w:ascii="Times New Roman" w:hAnsi="Times New Roman"/>
      <w:b/>
    </w:rPr>
  </w:style>
  <w:style w:type="paragraph" w:styleId="ListNumber">
    <w:name w:val="List Number"/>
    <w:basedOn w:val="List"/>
    <w:rsid w:val="00CD19EA"/>
    <w:pPr>
      <w:numPr>
        <w:numId w:val="14"/>
      </w:numPr>
      <w:tabs>
        <w:tab w:val="clear" w:pos="340"/>
      </w:tabs>
    </w:pPr>
  </w:style>
  <w:style w:type="character" w:customStyle="1" w:styleId="WingdingSymbols">
    <w:name w:val="Wingding Symbols"/>
    <w:rsid w:val="00CD19EA"/>
    <w:rPr>
      <w:rFonts w:ascii="Wingdings" w:hAnsi="Wingdings"/>
    </w:rPr>
  </w:style>
  <w:style w:type="paragraph" w:customStyle="1" w:styleId="TableHeading">
    <w:name w:val="Table Heading"/>
    <w:basedOn w:val="HeadingBase"/>
    <w:rsid w:val="00CD19EA"/>
    <w:pPr>
      <w:keepLines/>
      <w:pBdr>
        <w:bottom w:val="single" w:sz="6" w:space="1" w:color="918585"/>
      </w:pBdr>
      <w:spacing w:before="240"/>
    </w:pPr>
  </w:style>
  <w:style w:type="character" w:customStyle="1" w:styleId="HotSpot">
    <w:name w:val="HotSpot"/>
    <w:rsid w:val="00CD19EA"/>
    <w:rPr>
      <w:color w:val="0033CC"/>
      <w:u w:val="none"/>
    </w:rPr>
  </w:style>
  <w:style w:type="paragraph" w:customStyle="1" w:styleId="BodyTextRight">
    <w:name w:val="Body Text Right"/>
    <w:basedOn w:val="BodyText"/>
    <w:rsid w:val="00CD19EA"/>
    <w:pPr>
      <w:spacing w:before="0" w:after="0"/>
      <w:jc w:val="right"/>
    </w:pPr>
  </w:style>
  <w:style w:type="paragraph" w:styleId="Index3">
    <w:name w:val="index 3"/>
    <w:basedOn w:val="ListNumber2"/>
    <w:next w:val="Normal"/>
    <w:semiHidden/>
    <w:rsid w:val="00CD19EA"/>
    <w:pPr>
      <w:numPr>
        <w:numId w:val="0"/>
      </w:numPr>
      <w:tabs>
        <w:tab w:val="right" w:leader="dot" w:pos="4176"/>
      </w:tabs>
    </w:pPr>
  </w:style>
  <w:style w:type="paragraph" w:styleId="ListNumber2">
    <w:name w:val="List Number 2"/>
    <w:basedOn w:val="List2"/>
    <w:rsid w:val="00CD19EA"/>
    <w:pPr>
      <w:numPr>
        <w:numId w:val="9"/>
      </w:numPr>
      <w:tabs>
        <w:tab w:val="clear" w:pos="1060"/>
      </w:tabs>
    </w:pPr>
  </w:style>
  <w:style w:type="paragraph" w:customStyle="1" w:styleId="MarginNote">
    <w:name w:val="Margin Note"/>
    <w:basedOn w:val="BodyText"/>
    <w:rsid w:val="00CD1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9EA"/>
    <w:rPr>
      <w:sz w:val="32"/>
    </w:rPr>
  </w:style>
  <w:style w:type="paragraph" w:customStyle="1" w:styleId="HeadingProcedure">
    <w:name w:val="Heading Procedure"/>
    <w:basedOn w:val="HeadingBase"/>
    <w:next w:val="Normal"/>
    <w:rsid w:val="00CD19EA"/>
    <w:pPr>
      <w:tabs>
        <w:tab w:val="left" w:pos="0"/>
      </w:tabs>
      <w:spacing w:before="120" w:after="60"/>
    </w:pPr>
    <w:rPr>
      <w:i/>
      <w:color w:val="918585"/>
      <w:sz w:val="22"/>
    </w:rPr>
  </w:style>
  <w:style w:type="paragraph" w:customStyle="1" w:styleId="TableBodyText">
    <w:name w:val="Table Body Text"/>
    <w:basedOn w:val="BodyText"/>
    <w:rsid w:val="00CD19EA"/>
    <w:pPr>
      <w:spacing w:before="60" w:after="60"/>
    </w:pPr>
  </w:style>
  <w:style w:type="paragraph" w:styleId="ListContinue">
    <w:name w:val="List Continue"/>
    <w:basedOn w:val="List"/>
    <w:rsid w:val="00CD19EA"/>
    <w:pPr>
      <w:ind w:firstLine="0"/>
    </w:pPr>
  </w:style>
  <w:style w:type="paragraph" w:customStyle="1" w:styleId="ListNote">
    <w:name w:val="List Note"/>
    <w:basedOn w:val="List"/>
    <w:rsid w:val="00CD19EA"/>
    <w:pPr>
      <w:pBdr>
        <w:top w:val="single" w:sz="6" w:space="2" w:color="918585"/>
        <w:bottom w:val="single" w:sz="6" w:space="2" w:color="918585"/>
      </w:pBdr>
      <w:tabs>
        <w:tab w:val="left" w:pos="1021"/>
      </w:tabs>
      <w:ind w:firstLine="0"/>
    </w:pPr>
  </w:style>
  <w:style w:type="paragraph" w:customStyle="1" w:styleId="Warning">
    <w:name w:val="Warning"/>
    <w:basedOn w:val="BodyText"/>
    <w:rsid w:val="00CD19EA"/>
    <w:pPr>
      <w:shd w:val="clear" w:color="auto" w:fill="D9D9D9"/>
      <w:tabs>
        <w:tab w:val="left" w:pos="992"/>
      </w:tabs>
      <w:ind w:left="119" w:right="119"/>
    </w:pPr>
    <w:rPr>
      <w:sz w:val="20"/>
    </w:rPr>
  </w:style>
  <w:style w:type="paragraph" w:customStyle="1" w:styleId="MarginIcons">
    <w:name w:val="Margin Icons"/>
    <w:basedOn w:val="BodyText"/>
    <w:rsid w:val="00CD1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9EA"/>
    <w:rPr>
      <w:rFonts w:ascii="Courier New" w:hAnsi="Courier New"/>
    </w:rPr>
  </w:style>
  <w:style w:type="paragraph" w:customStyle="1" w:styleId="NoteBullet">
    <w:name w:val="Note Bullet"/>
    <w:basedOn w:val="Note"/>
    <w:rsid w:val="00CD19EA"/>
    <w:pPr>
      <w:tabs>
        <w:tab w:val="clear" w:pos="680"/>
      </w:tabs>
      <w:spacing w:before="60" w:after="60"/>
    </w:pPr>
  </w:style>
  <w:style w:type="paragraph" w:customStyle="1" w:styleId="SubHeading2">
    <w:name w:val="SubHeading2"/>
    <w:basedOn w:val="HeadingBase"/>
    <w:rsid w:val="00CD19EA"/>
    <w:pPr>
      <w:spacing w:before="240" w:after="60"/>
    </w:pPr>
    <w:rPr>
      <w:sz w:val="20"/>
    </w:rPr>
  </w:style>
  <w:style w:type="paragraph" w:customStyle="1" w:styleId="SubHeading1">
    <w:name w:val="SubHeading1"/>
    <w:basedOn w:val="HeadingBase"/>
    <w:rsid w:val="00CD19EA"/>
    <w:pPr>
      <w:spacing w:before="240" w:after="60"/>
    </w:pPr>
    <w:rPr>
      <w:color w:val="918585"/>
      <w:sz w:val="22"/>
    </w:rPr>
  </w:style>
  <w:style w:type="paragraph" w:customStyle="1" w:styleId="SideHeading">
    <w:name w:val="Side Heading"/>
    <w:basedOn w:val="HeadingBase"/>
    <w:rsid w:val="00CD1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9EA"/>
    <w:pPr>
      <w:numPr>
        <w:numId w:val="10"/>
      </w:numPr>
    </w:pPr>
  </w:style>
  <w:style w:type="paragraph" w:styleId="PlainText">
    <w:name w:val="Plain Text"/>
    <w:basedOn w:val="Normal"/>
    <w:link w:val="PlainTextChar"/>
    <w:rsid w:val="00CD19EA"/>
    <w:rPr>
      <w:sz w:val="20"/>
    </w:rPr>
  </w:style>
  <w:style w:type="character" w:customStyle="1" w:styleId="PlainTextChar">
    <w:name w:val="Plain Text Char"/>
    <w:basedOn w:val="DefaultParagraphFont"/>
    <w:link w:val="PlainText"/>
    <w:rsid w:val="00CD19EA"/>
    <w:rPr>
      <w:rFonts w:ascii="Courier New" w:eastAsia="Times New Roman" w:hAnsi="Courier New" w:cs="Times New Roman"/>
      <w:sz w:val="20"/>
      <w:szCs w:val="20"/>
      <w:lang w:eastAsia="en-US"/>
    </w:rPr>
  </w:style>
  <w:style w:type="character" w:customStyle="1" w:styleId="MenuOption">
    <w:name w:val="Menu Option"/>
    <w:basedOn w:val="DefaultParagraphFont"/>
    <w:rsid w:val="00CD19EA"/>
    <w:rPr>
      <w:b/>
      <w:smallCaps/>
    </w:rPr>
  </w:style>
  <w:style w:type="paragraph" w:customStyle="1" w:styleId="TableListNumber">
    <w:name w:val="Table List Number"/>
    <w:basedOn w:val="ListNumber"/>
    <w:rsid w:val="00CD19EA"/>
    <w:pPr>
      <w:numPr>
        <w:numId w:val="0"/>
      </w:numPr>
    </w:pPr>
  </w:style>
  <w:style w:type="paragraph" w:styleId="TOC4">
    <w:name w:val="toc 4"/>
    <w:basedOn w:val="TOCBase"/>
    <w:next w:val="Normal"/>
    <w:semiHidden/>
    <w:rsid w:val="00CD19EA"/>
    <w:pPr>
      <w:tabs>
        <w:tab w:val="right" w:leader="dot" w:pos="9071"/>
      </w:tabs>
      <w:ind w:left="1701"/>
    </w:pPr>
  </w:style>
  <w:style w:type="paragraph" w:customStyle="1" w:styleId="ListAlpha">
    <w:name w:val="List Alpha"/>
    <w:basedOn w:val="List"/>
    <w:rsid w:val="00CD19EA"/>
    <w:pPr>
      <w:numPr>
        <w:numId w:val="8"/>
      </w:numPr>
    </w:pPr>
  </w:style>
  <w:style w:type="paragraph" w:customStyle="1" w:styleId="ListAlpha2">
    <w:name w:val="List Alpha 2"/>
    <w:basedOn w:val="List2"/>
    <w:rsid w:val="00CD19EA"/>
    <w:pPr>
      <w:numPr>
        <w:numId w:val="7"/>
      </w:numPr>
    </w:pPr>
  </w:style>
  <w:style w:type="paragraph" w:styleId="List2">
    <w:name w:val="List 2"/>
    <w:basedOn w:val="BodyText"/>
    <w:rsid w:val="00CD19EA"/>
    <w:pPr>
      <w:tabs>
        <w:tab w:val="left" w:pos="680"/>
      </w:tabs>
      <w:spacing w:before="60" w:after="60"/>
      <w:ind w:left="680" w:hanging="340"/>
    </w:pPr>
  </w:style>
  <w:style w:type="paragraph" w:styleId="List3">
    <w:name w:val="List 3"/>
    <w:basedOn w:val="BodyText"/>
    <w:rsid w:val="00CD19EA"/>
    <w:pPr>
      <w:tabs>
        <w:tab w:val="left" w:pos="1021"/>
      </w:tabs>
      <w:spacing w:before="60" w:after="60"/>
      <w:ind w:left="1020" w:hanging="340"/>
    </w:pPr>
  </w:style>
  <w:style w:type="paragraph" w:styleId="List4">
    <w:name w:val="List 4"/>
    <w:basedOn w:val="BodyText"/>
    <w:rsid w:val="00CD19EA"/>
    <w:pPr>
      <w:tabs>
        <w:tab w:val="left" w:pos="1361"/>
      </w:tabs>
      <w:spacing w:before="60" w:after="60"/>
      <w:ind w:left="1361" w:hanging="340"/>
    </w:pPr>
  </w:style>
  <w:style w:type="paragraph" w:styleId="List5">
    <w:name w:val="List 5"/>
    <w:basedOn w:val="BodyText"/>
    <w:rsid w:val="00CD19EA"/>
    <w:pPr>
      <w:tabs>
        <w:tab w:val="left" w:pos="1701"/>
      </w:tabs>
      <w:spacing w:before="60" w:after="60"/>
      <w:ind w:left="1701" w:hanging="340"/>
    </w:pPr>
  </w:style>
  <w:style w:type="paragraph" w:styleId="ListBullet3">
    <w:name w:val="List Bullet 3"/>
    <w:basedOn w:val="List3"/>
    <w:rsid w:val="00CD19EA"/>
    <w:pPr>
      <w:numPr>
        <w:numId w:val="13"/>
      </w:numPr>
      <w:tabs>
        <w:tab w:val="clear" w:pos="1021"/>
      </w:tabs>
      <w:ind w:left="1037" w:hanging="357"/>
    </w:pPr>
  </w:style>
  <w:style w:type="paragraph" w:styleId="ListBullet4">
    <w:name w:val="List Bullet 4"/>
    <w:basedOn w:val="List4"/>
    <w:rsid w:val="00CD19EA"/>
    <w:pPr>
      <w:numPr>
        <w:numId w:val="2"/>
      </w:numPr>
      <w:tabs>
        <w:tab w:val="clear" w:pos="1361"/>
      </w:tabs>
    </w:pPr>
  </w:style>
  <w:style w:type="paragraph" w:styleId="ListBullet5">
    <w:name w:val="List Bullet 5"/>
    <w:basedOn w:val="List5"/>
    <w:rsid w:val="00CD19EA"/>
    <w:pPr>
      <w:numPr>
        <w:numId w:val="3"/>
      </w:numPr>
    </w:pPr>
  </w:style>
  <w:style w:type="paragraph" w:styleId="ListContinue2">
    <w:name w:val="List Continue 2"/>
    <w:basedOn w:val="List2"/>
    <w:rsid w:val="00CD19EA"/>
    <w:pPr>
      <w:ind w:firstLine="0"/>
    </w:pPr>
  </w:style>
  <w:style w:type="paragraph" w:styleId="ListContinue3">
    <w:name w:val="List Continue 3"/>
    <w:basedOn w:val="List3"/>
    <w:rsid w:val="00CD19EA"/>
    <w:pPr>
      <w:ind w:left="1021" w:firstLine="0"/>
    </w:pPr>
  </w:style>
  <w:style w:type="paragraph" w:styleId="ListContinue4">
    <w:name w:val="List Continue 4"/>
    <w:basedOn w:val="List4"/>
    <w:rsid w:val="00CD19EA"/>
    <w:pPr>
      <w:ind w:firstLine="0"/>
    </w:pPr>
  </w:style>
  <w:style w:type="paragraph" w:styleId="ListContinue5">
    <w:name w:val="List Continue 5"/>
    <w:basedOn w:val="List5"/>
    <w:rsid w:val="00CD19EA"/>
    <w:pPr>
      <w:ind w:firstLine="0"/>
    </w:pPr>
  </w:style>
  <w:style w:type="paragraph" w:styleId="ListNumber3">
    <w:name w:val="List Number 3"/>
    <w:basedOn w:val="List3"/>
    <w:rsid w:val="00CD19EA"/>
    <w:pPr>
      <w:numPr>
        <w:numId w:val="4"/>
      </w:numPr>
    </w:pPr>
  </w:style>
  <w:style w:type="paragraph" w:styleId="ListNumber4">
    <w:name w:val="List Number 4"/>
    <w:basedOn w:val="List4"/>
    <w:rsid w:val="00CD19EA"/>
    <w:pPr>
      <w:numPr>
        <w:numId w:val="5"/>
      </w:numPr>
    </w:pPr>
  </w:style>
  <w:style w:type="paragraph" w:styleId="ListNumber5">
    <w:name w:val="List Number 5"/>
    <w:basedOn w:val="List5"/>
    <w:rsid w:val="00CD19EA"/>
    <w:pPr>
      <w:numPr>
        <w:numId w:val="6"/>
      </w:numPr>
    </w:pPr>
  </w:style>
  <w:style w:type="paragraph" w:styleId="BlockText">
    <w:name w:val="Block Text"/>
    <w:basedOn w:val="Normal"/>
    <w:rsid w:val="00CD19EA"/>
    <w:pPr>
      <w:spacing w:after="120"/>
      <w:ind w:left="1440" w:right="1440"/>
    </w:pPr>
  </w:style>
  <w:style w:type="character" w:customStyle="1" w:styleId="Subscript">
    <w:name w:val="Subscript"/>
    <w:basedOn w:val="DefaultParagraphFont"/>
    <w:rsid w:val="00CD19EA"/>
    <w:rPr>
      <w:sz w:val="16"/>
      <w:vertAlign w:val="subscript"/>
    </w:rPr>
  </w:style>
  <w:style w:type="character" w:customStyle="1" w:styleId="Superscript">
    <w:name w:val="Superscript"/>
    <w:basedOn w:val="DefaultParagraphFont"/>
    <w:rsid w:val="00CD19EA"/>
    <w:rPr>
      <w:sz w:val="16"/>
      <w:vertAlign w:val="superscript"/>
    </w:rPr>
  </w:style>
  <w:style w:type="character" w:customStyle="1" w:styleId="Symbols">
    <w:name w:val="Symbols"/>
    <w:basedOn w:val="DefaultParagraphFont"/>
    <w:rsid w:val="00CD19EA"/>
    <w:rPr>
      <w:rFonts w:ascii="Symbol" w:hAnsi="Symbol"/>
    </w:rPr>
  </w:style>
  <w:style w:type="character" w:customStyle="1" w:styleId="MenuOptions">
    <w:name w:val="Menu Options"/>
    <w:basedOn w:val="DefaultParagraphFont"/>
    <w:rsid w:val="00CD19EA"/>
    <w:rPr>
      <w:rFonts w:ascii="Arial Narrow" w:hAnsi="Arial Narrow"/>
      <w:smallCaps/>
    </w:rPr>
  </w:style>
  <w:style w:type="character" w:customStyle="1" w:styleId="Buttons">
    <w:name w:val="Buttons"/>
    <w:basedOn w:val="DefaultParagraphFont"/>
    <w:rsid w:val="00CD19EA"/>
    <w:rPr>
      <w:b/>
    </w:rPr>
  </w:style>
  <w:style w:type="character" w:customStyle="1" w:styleId="Underlined">
    <w:name w:val="Underlined"/>
    <w:basedOn w:val="DefaultParagraphFont"/>
    <w:rsid w:val="00CD19EA"/>
    <w:rPr>
      <w:u w:val="single"/>
    </w:rPr>
  </w:style>
  <w:style w:type="paragraph" w:customStyle="1" w:styleId="TableBodyTextRight">
    <w:name w:val="Table Body Text Right"/>
    <w:basedOn w:val="TableBodyText"/>
    <w:rsid w:val="00CD19EA"/>
    <w:pPr>
      <w:widowControl w:val="0"/>
      <w:autoSpaceDE w:val="0"/>
      <w:autoSpaceDN w:val="0"/>
      <w:adjustRightInd w:val="0"/>
      <w:jc w:val="right"/>
    </w:pPr>
    <w:rPr>
      <w:rFonts w:cs="Arial"/>
      <w:szCs w:val="18"/>
    </w:rPr>
  </w:style>
  <w:style w:type="paragraph" w:customStyle="1" w:styleId="CopyrightText">
    <w:name w:val="Copyright Text"/>
    <w:basedOn w:val="BodyText"/>
    <w:rsid w:val="00CD19EA"/>
    <w:rPr>
      <w:sz w:val="18"/>
    </w:rPr>
  </w:style>
  <w:style w:type="paragraph" w:customStyle="1" w:styleId="BodySmallRight">
    <w:name w:val="Body Small Right"/>
    <w:basedOn w:val="BodyTextRight"/>
    <w:rsid w:val="00CD19EA"/>
    <w:rPr>
      <w:sz w:val="18"/>
      <w:szCs w:val="18"/>
    </w:rPr>
  </w:style>
  <w:style w:type="paragraph" w:customStyle="1" w:styleId="MarginEdition">
    <w:name w:val="Margin Edition"/>
    <w:basedOn w:val="MarginNote"/>
    <w:rsid w:val="00CD19EA"/>
    <w:pPr>
      <w:spacing w:before="0" w:after="0"/>
    </w:pPr>
    <w:rPr>
      <w:rFonts w:ascii="Times New Roman" w:hAnsi="Times New Roman"/>
      <w:color w:val="999999"/>
    </w:rPr>
  </w:style>
  <w:style w:type="paragraph" w:customStyle="1" w:styleId="Spacer">
    <w:name w:val="Spacer"/>
    <w:basedOn w:val="Normal"/>
    <w:rsid w:val="00CD19EA"/>
    <w:rPr>
      <w:sz w:val="2"/>
      <w:szCs w:val="2"/>
    </w:rPr>
  </w:style>
  <w:style w:type="character" w:customStyle="1" w:styleId="Small">
    <w:name w:val="Small"/>
    <w:basedOn w:val="DefaultParagraphFont"/>
    <w:rsid w:val="00CD19EA"/>
    <w:rPr>
      <w:sz w:val="16"/>
    </w:rPr>
  </w:style>
  <w:style w:type="paragraph" w:customStyle="1" w:styleId="WideTable">
    <w:name w:val="Wide Table"/>
    <w:basedOn w:val="Normal"/>
    <w:rsid w:val="00CD19EA"/>
    <w:pPr>
      <w:ind w:left="-1418"/>
    </w:pPr>
    <w:rPr>
      <w:sz w:val="2"/>
      <w:szCs w:val="2"/>
    </w:rPr>
  </w:style>
  <w:style w:type="character" w:styleId="PageNumber">
    <w:name w:val="page number"/>
    <w:basedOn w:val="DefaultParagraphFont"/>
    <w:rsid w:val="00CD19EA"/>
  </w:style>
  <w:style w:type="paragraph" w:styleId="Quote">
    <w:name w:val="Quote"/>
    <w:basedOn w:val="Heading1"/>
    <w:link w:val="QuoteChar"/>
    <w:qFormat/>
    <w:rsid w:val="00CD19EA"/>
    <w:rPr>
      <w:b w:val="0"/>
      <w:sz w:val="72"/>
      <w:szCs w:val="72"/>
      <w:lang w:val="en-NZ"/>
    </w:rPr>
  </w:style>
  <w:style w:type="character" w:customStyle="1" w:styleId="QuoteChar">
    <w:name w:val="Quote Char"/>
    <w:basedOn w:val="DefaultParagraphFont"/>
    <w:link w:val="Quote"/>
    <w:rsid w:val="00CD1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9EA"/>
    <w:pPr>
      <w:pageBreakBefore/>
    </w:pPr>
  </w:style>
  <w:style w:type="paragraph" w:customStyle="1" w:styleId="Border">
    <w:name w:val="Border"/>
    <w:basedOn w:val="Normal"/>
    <w:qFormat/>
    <w:rsid w:val="00CD1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9EA"/>
    <w:rPr>
      <w:b/>
      <w:bCs/>
      <w:i/>
      <w:iCs/>
      <w:color w:val="auto"/>
    </w:rPr>
  </w:style>
  <w:style w:type="paragraph" w:styleId="IntenseQuote">
    <w:name w:val="Intense Quote"/>
    <w:basedOn w:val="Normal"/>
    <w:next w:val="Normal"/>
    <w:link w:val="IntenseQuoteChar"/>
    <w:uiPriority w:val="30"/>
    <w:qFormat/>
    <w:rsid w:val="00CD1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9EA"/>
    <w:rPr>
      <w:smallCaps/>
      <w:color w:val="auto"/>
      <w:u w:val="single"/>
    </w:rPr>
  </w:style>
  <w:style w:type="character" w:styleId="IntenseReference">
    <w:name w:val="Intense Reference"/>
    <w:basedOn w:val="DefaultParagraphFont"/>
    <w:uiPriority w:val="32"/>
    <w:qFormat/>
    <w:rsid w:val="00CD19EA"/>
    <w:rPr>
      <w:b/>
      <w:bCs/>
      <w:smallCaps/>
      <w:color w:val="auto"/>
      <w:spacing w:val="5"/>
      <w:u w:val="single"/>
    </w:rPr>
  </w:style>
  <w:style w:type="paragraph" w:customStyle="1" w:styleId="2ColumnHeading">
    <w:name w:val="2Column Heading"/>
    <w:basedOn w:val="BodyText"/>
    <w:qFormat/>
    <w:rsid w:val="00CD19EA"/>
    <w:pPr>
      <w:spacing w:after="60"/>
      <w:ind w:left="-2268"/>
    </w:pPr>
    <w:rPr>
      <w:b/>
    </w:rPr>
  </w:style>
  <w:style w:type="paragraph" w:customStyle="1" w:styleId="Heading1TOC">
    <w:name w:val="Heading1 TOC"/>
    <w:basedOn w:val="Normal"/>
    <w:qFormat/>
    <w:rsid w:val="00CD19EA"/>
    <w:pPr>
      <w:spacing w:before="240" w:after="120"/>
    </w:pPr>
    <w:rPr>
      <w:rFonts w:ascii="Times New Roman" w:hAnsi="Times New Roman"/>
      <w:b/>
      <w:sz w:val="32"/>
    </w:rPr>
  </w:style>
  <w:style w:type="paragraph" w:customStyle="1" w:styleId="Heading2TOC">
    <w:name w:val="Heading2 TOC"/>
    <w:basedOn w:val="Normal"/>
    <w:qFormat/>
    <w:rsid w:val="00CD19EA"/>
    <w:pPr>
      <w:spacing w:before="240" w:after="60"/>
    </w:pPr>
    <w:rPr>
      <w:rFonts w:ascii="Times New Roman" w:hAnsi="Times New Roman"/>
      <w:b/>
      <w:sz w:val="28"/>
    </w:rPr>
  </w:style>
  <w:style w:type="character" w:customStyle="1" w:styleId="Underline">
    <w:name w:val="Underline"/>
    <w:basedOn w:val="DefaultParagraphFont"/>
    <w:qFormat/>
    <w:rsid w:val="00CD19EA"/>
    <w:rPr>
      <w:u w:val="single"/>
    </w:rPr>
  </w:style>
  <w:style w:type="character" w:customStyle="1" w:styleId="BoldandItalics">
    <w:name w:val="Bold and Italics"/>
    <w:qFormat/>
    <w:rsid w:val="00CD19EA"/>
    <w:rPr>
      <w:b/>
      <w:i/>
      <w:u w:val="none"/>
    </w:rPr>
  </w:style>
  <w:style w:type="paragraph" w:styleId="BalloonText">
    <w:name w:val="Balloon Text"/>
    <w:basedOn w:val="Normal"/>
    <w:link w:val="BalloonTextChar"/>
    <w:rsid w:val="00CD19EA"/>
    <w:rPr>
      <w:rFonts w:ascii="Tahoma" w:hAnsi="Tahoma" w:cs="Tahoma"/>
      <w:sz w:val="16"/>
      <w:szCs w:val="16"/>
    </w:rPr>
  </w:style>
  <w:style w:type="character" w:customStyle="1" w:styleId="BalloonTextChar">
    <w:name w:val="Balloon Text Char"/>
    <w:basedOn w:val="DefaultParagraphFont"/>
    <w:link w:val="BalloonText"/>
    <w:rsid w:val="00CD1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9EA"/>
    <w:rPr>
      <w:b/>
      <w:color w:val="660033"/>
      <w:spacing w:val="0"/>
    </w:rPr>
  </w:style>
  <w:style w:type="paragraph" w:customStyle="1" w:styleId="Nameditemlist">
    <w:name w:val="Named item list"/>
    <w:basedOn w:val="BodyText"/>
    <w:qFormat/>
    <w:rsid w:val="00CD19EA"/>
    <w:pPr>
      <w:tabs>
        <w:tab w:val="left" w:pos="2835"/>
      </w:tabs>
      <w:ind w:left="2835" w:hanging="2835"/>
    </w:pPr>
  </w:style>
  <w:style w:type="paragraph" w:customStyle="1" w:styleId="BodyTextnopadding">
    <w:name w:val="Body Text no padding"/>
    <w:basedOn w:val="BodyText"/>
    <w:qFormat/>
    <w:rsid w:val="00CD19EA"/>
    <w:pPr>
      <w:spacing w:before="0" w:after="0"/>
    </w:pPr>
  </w:style>
  <w:style w:type="paragraph" w:customStyle="1" w:styleId="BodyTextBold">
    <w:name w:val="Body Text Bold"/>
    <w:basedOn w:val="BodyText"/>
    <w:qFormat/>
    <w:rsid w:val="00CD19EA"/>
    <w:rPr>
      <w:b/>
    </w:rPr>
  </w:style>
  <w:style w:type="character" w:styleId="Hyperlink">
    <w:name w:val="Hyperlink"/>
    <w:basedOn w:val="DefaultParagraphFont"/>
    <w:uiPriority w:val="99"/>
    <w:unhideWhenUsed/>
    <w:rsid w:val="00575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5272</Characters>
  <Application>Microsoft Office Word</Application>
  <DocSecurity>0</DocSecurity>
  <Lines>263</Lines>
  <Paragraphs>141</Paragraphs>
  <ScaleCrop>false</ScaleCrop>
  <Company>Author-it Software Corporation Ltd.</Company>
  <LinksUpToDate>false</LinksUpToDate>
  <CharactersWithSpaces>5953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MSS405007 Introduce competitive systems and practices to a small or medium enterprise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