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4677" w:rsidP="006B4677">
      <w:pPr>
        <w:pStyle w:val="Title"/>
      </w:pPr>
      <w:r>
        <w:fldChar w:fldCharType="begin"/>
      </w:r>
      <w:r>
        <w:instrText xml:space="preserve"> TITLE   \* MERGEFORMAT </w:instrText>
      </w:r>
      <w:r>
        <w:fldChar w:fldCharType="separate"/>
      </w:r>
      <w:r>
        <w:t>MSS403033 Map an operational process</w:t>
      </w:r>
      <w:r>
        <w:fldChar w:fldCharType="end"/>
      </w:r>
    </w:p>
    <w:p w:rsidR="006B4677" w:rsidP="006B4677">
      <w:pPr>
        <w:pStyle w:val="Version"/>
        <w:sectPr w:rsidSect="00E3488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4886" w:rsidP="00E34886">
      <w:pPr>
        <w:pStyle w:val="SuperHeading"/>
      </w:pPr>
      <w:r w:rsidRPr="00E34886">
        <w:t>MSS403033 Map an operational process</w:t>
      </w:r>
    </w:p>
    <w:p w:rsidR="00000000" w:rsidRPr="00E34886" w:rsidP="00E34886">
      <w:pPr>
        <w:pStyle w:val="Heading1"/>
      </w:pPr>
      <w:bookmarkStart w:id="1" w:name="O_920606"/>
      <w:bookmarkEnd w:id="1"/>
      <w:r w:rsidRPr="00E34886">
        <w:t>Modification History</w:t>
      </w:r>
    </w:p>
    <w:p w:rsidR="00000000" w:rsidRPr="00E34886" w:rsidP="006B4677">
      <w:pPr>
        <w:pStyle w:val="BodyText"/>
      </w:pPr>
      <w:r w:rsidRPr="00E34886">
        <w:t>Release 1. Supersedes and is equivalent to MSS403033A Map an operational process</w:t>
      </w:r>
    </w:p>
    <w:p w:rsidR="00000000" w:rsidRPr="00E34886" w:rsidP="00E34886">
      <w:pPr>
        <w:pStyle w:val="Heading1"/>
      </w:pPr>
      <w:bookmarkStart w:id="2" w:name="O_920614"/>
      <w:bookmarkEnd w:id="2"/>
      <w:r w:rsidRPr="00E34886">
        <w:t>Application</w:t>
      </w:r>
    </w:p>
    <w:p w:rsidR="00000000" w:rsidRPr="00E34886" w:rsidP="006B4677">
      <w:pPr>
        <w:pStyle w:val="BodyText"/>
      </w:pPr>
      <w:r w:rsidRPr="00E34886">
        <w:t>This unit of competency covers the skills and knowledge required to identify and visually document the sequence and interacti</w:t>
      </w:r>
      <w:r w:rsidRPr="00E34886">
        <w:t>ons of related steps, activities or tasks that make up an individual operational process, from beginning to end.</w:t>
      </w:r>
    </w:p>
    <w:p w:rsidR="00000000" w:rsidRPr="00E34886" w:rsidP="006B4677">
      <w:pPr>
        <w:pStyle w:val="BodyText"/>
      </w:pPr>
      <w:r w:rsidRPr="00E34886">
        <w:t>For the purposes of this unit, an operational process is a group of structured and identifiable activities that contribute to delivering a spe</w:t>
      </w:r>
      <w:r w:rsidRPr="00E34886">
        <w:t xml:space="preserve">cified and measurable result, such as a product, deliverable or service. </w:t>
      </w:r>
    </w:p>
    <w:p w:rsidR="00000000" w:rsidRPr="00E34886" w:rsidP="006B4677">
      <w:pPr>
        <w:pStyle w:val="BodyText"/>
      </w:pPr>
      <w:r w:rsidRPr="00E34886">
        <w:t>The process mapping may be done for a number of purposes, including identifying the scope and purpose of a process, identifying opportunities for improvement using other competitive</w:t>
      </w:r>
      <w:r w:rsidRPr="00E34886">
        <w:t xml:space="preserve"> systems and practices techniques, or increasing the knowledge and engagement of others with the process. The specific aspects to focus on in the mapping should align to the goal or reason for the mapping.</w:t>
      </w:r>
    </w:p>
    <w:p w:rsidR="00000000" w:rsidRPr="00E34886" w:rsidP="006B4677">
      <w:pPr>
        <w:pStyle w:val="BodyText"/>
      </w:pPr>
      <w:r w:rsidRPr="00E34886">
        <w:t>No licensing, legislative or certification requir</w:t>
      </w:r>
      <w:r w:rsidRPr="00E34886">
        <w:t>ements apply to this unit at the time of publication.</w:t>
      </w:r>
    </w:p>
    <w:p w:rsidR="00000000" w:rsidRPr="00E34886" w:rsidP="00E34886">
      <w:pPr>
        <w:pStyle w:val="Heading1"/>
      </w:pPr>
      <w:bookmarkStart w:id="3" w:name="O_920613"/>
      <w:bookmarkEnd w:id="3"/>
      <w:r w:rsidRPr="00E34886">
        <w:t>Pre-requisite Unit</w:t>
      </w:r>
    </w:p>
    <w:p w:rsidR="00000000" w:rsidRPr="00E34886" w:rsidP="006B4677">
      <w:pPr>
        <w:pStyle w:val="BodyText"/>
      </w:pPr>
      <w:r w:rsidRPr="00E34886">
        <w:t>Nil</w:t>
      </w:r>
    </w:p>
    <w:p w:rsidR="00000000" w:rsidRPr="00E34886" w:rsidP="00E34886">
      <w:pPr>
        <w:pStyle w:val="Heading1"/>
      </w:pPr>
      <w:bookmarkStart w:id="4" w:name="O_920612"/>
      <w:bookmarkEnd w:id="4"/>
      <w:r w:rsidRPr="00E34886">
        <w:t>Competency Field</w:t>
      </w:r>
    </w:p>
    <w:p w:rsidR="00000000" w:rsidRPr="00E34886" w:rsidP="006B4677">
      <w:pPr>
        <w:pStyle w:val="BodyText"/>
      </w:pPr>
      <w:r w:rsidRPr="00E34886">
        <w:t>Competitive systems and practices</w:t>
      </w:r>
    </w:p>
    <w:p w:rsidR="00000000" w:rsidRPr="00E34886" w:rsidP="00E34886">
      <w:pPr>
        <w:pStyle w:val="Heading1"/>
      </w:pPr>
      <w:bookmarkStart w:id="5" w:name="O_920611"/>
      <w:bookmarkEnd w:id="5"/>
      <w:r w:rsidRPr="00E34886">
        <w:t>Unit Sector</w:t>
      </w:r>
    </w:p>
    <w:p w:rsidR="00000000" w:rsidRPr="00E34886" w:rsidP="006B4677">
      <w:pPr>
        <w:pStyle w:val="BodyText"/>
      </w:pPr>
      <w:r w:rsidRPr="00E34886">
        <w:t>Not applicable</w:t>
      </w:r>
    </w:p>
    <w:p w:rsidR="00000000" w:rsidRPr="00E34886" w:rsidP="00E34886">
      <w:pPr>
        <w:pStyle w:val="Heading1"/>
      </w:pPr>
      <w:bookmarkStart w:id="6" w:name="O_920610"/>
      <w:bookmarkEnd w:id="6"/>
      <w:r w:rsidRPr="00E3488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3488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34886">
            <w:pPr>
              <w:pStyle w:val="BodyText"/>
              <w:rPr>
                <w:lang w:val="en-NZ"/>
              </w:rPr>
            </w:pPr>
            <w:r w:rsidRPr="00E3488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34886">
            <w:pPr>
              <w:pStyle w:val="BodyText"/>
              <w:rPr>
                <w:lang w:val="en-NZ"/>
              </w:rPr>
            </w:pPr>
            <w:r w:rsidRPr="00E34886">
              <w:t>Performance criteria describe the performance needed to demonstrate achievement of the element.</w:t>
            </w:r>
          </w:p>
        </w:tc>
      </w:tr>
      <w:tr w:rsidTr="00E348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34886" w:rsidP="00E34886">
            <w:pPr>
              <w:pStyle w:val="BodyText"/>
            </w:pPr>
            <w:r w:rsidRPr="00E34886">
              <w:t>1</w:t>
            </w:r>
          </w:p>
        </w:tc>
        <w:tc>
          <w:tcPr>
            <w:tcW w:w="1962" w:type="dxa"/>
            <w:vMerge w:val="restart"/>
            <w:tcBorders>
              <w:top w:val="nil"/>
              <w:left w:val="nil"/>
              <w:bottom w:val="nil"/>
              <w:right w:val="nil"/>
            </w:tcBorders>
            <w:tcMar>
              <w:top w:w="0" w:type="dxa"/>
              <w:left w:w="62" w:type="dxa"/>
              <w:bottom w:w="0" w:type="dxa"/>
              <w:right w:w="62" w:type="dxa"/>
            </w:tcMar>
          </w:tcPr>
          <w:p w:rsidR="00000000" w:rsidP="00E34886">
            <w:pPr>
              <w:pStyle w:val="BodyText"/>
              <w:rPr>
                <w:lang w:val="en-NZ"/>
              </w:rPr>
            </w:pPr>
            <w:r w:rsidRPr="00E34886">
              <w:rPr>
                <w:rStyle w:val="SpecialBold"/>
              </w:rPr>
              <w:t>Define the scope of the process map</w:t>
            </w:r>
          </w:p>
        </w:tc>
        <w:tc>
          <w:tcPr>
            <w:tcW w:w="770" w:type="dxa"/>
            <w:tcBorders>
              <w:top w:val="nil"/>
              <w:left w:val="nil"/>
              <w:bottom w:val="nil"/>
              <w:right w:val="nil"/>
            </w:tcBorders>
            <w:tcMar>
              <w:top w:w="0" w:type="dxa"/>
              <w:left w:w="62" w:type="dxa"/>
              <w:bottom w:w="0" w:type="dxa"/>
              <w:right w:w="62" w:type="dxa"/>
            </w:tcMar>
          </w:tcPr>
          <w:p w:rsidR="00000000" w:rsidP="00E34886">
            <w:pPr>
              <w:pStyle w:val="BodyText"/>
              <w:rPr>
                <w:lang w:val="en-NZ"/>
              </w:rPr>
            </w:pPr>
            <w:r w:rsidRPr="00E34886">
              <w:t>1.1</w:t>
            </w:r>
          </w:p>
        </w:tc>
        <w:tc>
          <w:tcPr>
            <w:tcW w:w="5610" w:type="dxa"/>
            <w:tcBorders>
              <w:top w:val="nil"/>
              <w:left w:val="nil"/>
              <w:bottom w:val="nil"/>
              <w:right w:val="nil"/>
            </w:tcBorders>
            <w:tcMar>
              <w:top w:w="0" w:type="dxa"/>
              <w:left w:w="62" w:type="dxa"/>
              <w:bottom w:w="0" w:type="dxa"/>
              <w:right w:w="62" w:type="dxa"/>
            </w:tcMar>
          </w:tcPr>
          <w:p w:rsidR="00000000" w:rsidP="00E34886">
            <w:pPr>
              <w:pStyle w:val="BodyText"/>
              <w:rPr>
                <w:lang w:val="en-NZ"/>
              </w:rPr>
            </w:pPr>
            <w:r w:rsidRPr="00E34886">
              <w:t>Identify the purpose for the process mapping.</w:t>
            </w:r>
          </w:p>
        </w:tc>
      </w:tr>
      <w:tr w:rsidTr="00E348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4886">
            <w:pPr>
              <w:pStyle w:val="BodyText"/>
              <w:rPr>
                <w:lang w:val="en-NZ"/>
              </w:rPr>
            </w:pPr>
            <w:r w:rsidRPr="00E34886">
              <w:t>1.2</w:t>
            </w:r>
          </w:p>
        </w:tc>
        <w:tc>
          <w:tcPr>
            <w:tcW w:w="5610" w:type="dxa"/>
            <w:tcBorders>
              <w:top w:val="nil"/>
              <w:left w:val="nil"/>
              <w:bottom w:val="nil"/>
              <w:right w:val="nil"/>
            </w:tcBorders>
            <w:tcMar>
              <w:top w:w="0" w:type="dxa"/>
              <w:left w:w="62" w:type="dxa"/>
              <w:bottom w:w="0" w:type="dxa"/>
              <w:right w:w="62" w:type="dxa"/>
            </w:tcMar>
          </w:tcPr>
          <w:p w:rsidR="00000000" w:rsidP="00E34886">
            <w:pPr>
              <w:pStyle w:val="BodyText"/>
              <w:rPr>
                <w:lang w:val="en-NZ"/>
              </w:rPr>
            </w:pPr>
            <w:r w:rsidRPr="00E34886">
              <w:t>Define the boundaries of the process to be mapped.</w:t>
            </w:r>
          </w:p>
        </w:tc>
      </w:tr>
      <w:tr w:rsidTr="00E348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4886">
            <w:pPr>
              <w:pStyle w:val="BodyText"/>
              <w:rPr>
                <w:lang w:val="en-NZ"/>
              </w:rPr>
            </w:pPr>
            <w:r w:rsidRPr="00E34886">
              <w:t>1.3</w:t>
            </w:r>
          </w:p>
        </w:tc>
        <w:tc>
          <w:tcPr>
            <w:tcW w:w="5610" w:type="dxa"/>
            <w:tcBorders>
              <w:top w:val="nil"/>
              <w:left w:val="nil"/>
              <w:bottom w:val="nil"/>
              <w:right w:val="nil"/>
            </w:tcBorders>
            <w:tcMar>
              <w:top w:w="0" w:type="dxa"/>
              <w:left w:w="62" w:type="dxa"/>
              <w:bottom w:w="0" w:type="dxa"/>
              <w:right w:w="62" w:type="dxa"/>
            </w:tcMar>
          </w:tcPr>
          <w:p w:rsidR="00000000" w:rsidP="00E34886">
            <w:pPr>
              <w:pStyle w:val="BodyText"/>
              <w:rPr>
                <w:lang w:val="en-NZ"/>
              </w:rPr>
            </w:pPr>
            <w:r w:rsidRPr="00E34886">
              <w:t>Identify process stakeholders to participate in the mapping.</w:t>
            </w:r>
          </w:p>
        </w:tc>
      </w:tr>
      <w:tr w:rsidTr="00E348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4886">
            <w:pPr>
              <w:pStyle w:val="BodyText"/>
              <w:rPr>
                <w:lang w:val="en-NZ"/>
              </w:rPr>
            </w:pPr>
            <w:r w:rsidRPr="00E34886">
              <w:t>1.4</w:t>
            </w:r>
          </w:p>
        </w:tc>
        <w:tc>
          <w:tcPr>
            <w:tcW w:w="5610" w:type="dxa"/>
            <w:tcBorders>
              <w:top w:val="nil"/>
              <w:left w:val="nil"/>
              <w:bottom w:val="nil"/>
              <w:right w:val="nil"/>
            </w:tcBorders>
            <w:tcMar>
              <w:top w:w="0" w:type="dxa"/>
              <w:left w:w="62" w:type="dxa"/>
              <w:bottom w:w="0" w:type="dxa"/>
              <w:right w:w="62" w:type="dxa"/>
            </w:tcMar>
          </w:tcPr>
          <w:p w:rsidR="00000000" w:rsidP="00E34886">
            <w:pPr>
              <w:pStyle w:val="BodyText"/>
              <w:rPr>
                <w:lang w:val="en-NZ"/>
              </w:rPr>
            </w:pPr>
            <w:r w:rsidRPr="00E34886">
              <w:t>Identify the aspects to be mapped.</w:t>
            </w:r>
          </w:p>
        </w:tc>
      </w:tr>
      <w:tr w:rsidTr="00E348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4886">
            <w:pPr>
              <w:pStyle w:val="BodyText"/>
              <w:rPr>
                <w:lang w:val="en-NZ"/>
              </w:rPr>
            </w:pPr>
            <w:r w:rsidRPr="00E34886">
              <w:t>1.5</w:t>
            </w:r>
          </w:p>
        </w:tc>
        <w:tc>
          <w:tcPr>
            <w:tcW w:w="5610" w:type="dxa"/>
            <w:tcBorders>
              <w:top w:val="nil"/>
              <w:left w:val="nil"/>
              <w:bottom w:val="nil"/>
              <w:right w:val="nil"/>
            </w:tcBorders>
            <w:tcMar>
              <w:top w:w="0" w:type="dxa"/>
              <w:left w:w="62" w:type="dxa"/>
              <w:bottom w:w="0" w:type="dxa"/>
              <w:right w:w="62" w:type="dxa"/>
            </w:tcMar>
          </w:tcPr>
          <w:p w:rsidR="00000000" w:rsidP="00E34886">
            <w:pPr>
              <w:pStyle w:val="BodyText"/>
              <w:rPr>
                <w:lang w:val="en-NZ"/>
              </w:rPr>
            </w:pPr>
            <w:r w:rsidRPr="00E34886">
              <w:t>Select an appropriate process mapping technique.</w:t>
            </w:r>
          </w:p>
        </w:tc>
      </w:tr>
      <w:tr w:rsidTr="00E348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4886">
            <w:pPr>
              <w:pStyle w:val="BodyText"/>
              <w:rPr>
                <w:lang w:val="en-NZ"/>
              </w:rPr>
            </w:pPr>
            <w:r w:rsidRPr="00E34886">
              <w:t>1.6</w:t>
            </w:r>
          </w:p>
        </w:tc>
        <w:tc>
          <w:tcPr>
            <w:tcW w:w="5610" w:type="dxa"/>
            <w:tcBorders>
              <w:top w:val="nil"/>
              <w:left w:val="nil"/>
              <w:bottom w:val="nil"/>
              <w:right w:val="nil"/>
            </w:tcBorders>
            <w:tcMar>
              <w:top w:w="0" w:type="dxa"/>
              <w:left w:w="62" w:type="dxa"/>
              <w:bottom w:w="0" w:type="dxa"/>
              <w:right w:w="62" w:type="dxa"/>
            </w:tcMar>
          </w:tcPr>
          <w:p w:rsidR="00000000" w:rsidP="00E34886">
            <w:pPr>
              <w:pStyle w:val="BodyText"/>
              <w:rPr>
                <w:lang w:val="en-NZ"/>
              </w:rPr>
            </w:pPr>
            <w:r w:rsidRPr="00E34886">
              <w:t>Identify sources of information to populate and validate the process map.</w:t>
            </w:r>
          </w:p>
        </w:tc>
      </w:tr>
      <w:tr w:rsidTr="00E3488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34886">
            <w:pPr>
              <w:pStyle w:val="BodyText"/>
              <w:rPr>
                <w:lang w:val="en-NZ"/>
              </w:rPr>
            </w:pPr>
          </w:p>
        </w:tc>
      </w:tr>
      <w:tr w:rsidTr="00E348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34886" w:rsidP="00E34886">
            <w:pPr>
              <w:pStyle w:val="BodyText"/>
            </w:pPr>
            <w:r w:rsidRPr="00E34886">
              <w:t>2</w:t>
            </w:r>
          </w:p>
        </w:tc>
        <w:tc>
          <w:tcPr>
            <w:tcW w:w="1962" w:type="dxa"/>
            <w:vMerge w:val="restart"/>
            <w:tcBorders>
              <w:top w:val="nil"/>
              <w:left w:val="nil"/>
              <w:bottom w:val="nil"/>
              <w:right w:val="nil"/>
            </w:tcBorders>
            <w:tcMar>
              <w:top w:w="0" w:type="dxa"/>
              <w:left w:w="62" w:type="dxa"/>
              <w:bottom w:w="0" w:type="dxa"/>
              <w:right w:w="62" w:type="dxa"/>
            </w:tcMar>
          </w:tcPr>
          <w:p w:rsidR="00000000" w:rsidP="00E34886">
            <w:pPr>
              <w:pStyle w:val="BodyText"/>
              <w:rPr>
                <w:lang w:val="en-NZ"/>
              </w:rPr>
            </w:pPr>
            <w:r w:rsidRPr="00E34886">
              <w:rPr>
                <w:rStyle w:val="SpecialBold"/>
              </w:rPr>
              <w:t>Map the process</w:t>
            </w:r>
          </w:p>
        </w:tc>
        <w:tc>
          <w:tcPr>
            <w:tcW w:w="770" w:type="dxa"/>
            <w:tcBorders>
              <w:top w:val="nil"/>
              <w:left w:val="nil"/>
              <w:bottom w:val="nil"/>
              <w:right w:val="nil"/>
            </w:tcBorders>
            <w:tcMar>
              <w:top w:w="0" w:type="dxa"/>
              <w:left w:w="62" w:type="dxa"/>
              <w:bottom w:w="0" w:type="dxa"/>
              <w:right w:w="62" w:type="dxa"/>
            </w:tcMar>
          </w:tcPr>
          <w:p w:rsidR="00000000" w:rsidP="00E34886">
            <w:pPr>
              <w:pStyle w:val="BodyText"/>
              <w:rPr>
                <w:lang w:val="en-NZ"/>
              </w:rPr>
            </w:pPr>
            <w:r w:rsidRPr="00E34886">
              <w:t>2.1</w:t>
            </w:r>
          </w:p>
        </w:tc>
        <w:tc>
          <w:tcPr>
            <w:tcW w:w="5610" w:type="dxa"/>
            <w:tcBorders>
              <w:top w:val="nil"/>
              <w:left w:val="nil"/>
              <w:bottom w:val="nil"/>
              <w:right w:val="nil"/>
            </w:tcBorders>
            <w:tcMar>
              <w:top w:w="0" w:type="dxa"/>
              <w:left w:w="62" w:type="dxa"/>
              <w:bottom w:w="0" w:type="dxa"/>
              <w:right w:w="62" w:type="dxa"/>
            </w:tcMar>
          </w:tcPr>
          <w:p w:rsidR="00000000" w:rsidP="00E34886">
            <w:pPr>
              <w:pStyle w:val="BodyText"/>
              <w:rPr>
                <w:lang w:val="en-NZ"/>
              </w:rPr>
            </w:pPr>
            <w:r w:rsidRPr="00E34886">
              <w:t>Liaise with process stakeholders to identify steps in the process.</w:t>
            </w:r>
          </w:p>
        </w:tc>
      </w:tr>
      <w:tr w:rsidTr="00E348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4886">
            <w:pPr>
              <w:pStyle w:val="BodyText"/>
              <w:rPr>
                <w:lang w:val="en-NZ"/>
              </w:rPr>
            </w:pPr>
            <w:r w:rsidRPr="00E34886">
              <w:t>2.2</w:t>
            </w:r>
          </w:p>
        </w:tc>
        <w:tc>
          <w:tcPr>
            <w:tcW w:w="5610" w:type="dxa"/>
            <w:tcBorders>
              <w:top w:val="nil"/>
              <w:left w:val="nil"/>
              <w:bottom w:val="nil"/>
              <w:right w:val="nil"/>
            </w:tcBorders>
            <w:tcMar>
              <w:top w:w="0" w:type="dxa"/>
              <w:left w:w="62" w:type="dxa"/>
              <w:bottom w:w="0" w:type="dxa"/>
              <w:right w:w="62" w:type="dxa"/>
            </w:tcMar>
          </w:tcPr>
          <w:p w:rsidR="00000000" w:rsidP="00E34886">
            <w:pPr>
              <w:pStyle w:val="BodyText"/>
              <w:rPr>
                <w:lang w:val="en-NZ"/>
              </w:rPr>
            </w:pPr>
            <w:r w:rsidRPr="00E34886">
              <w:t>Rank information gained about process steps into critical, important and optional steps.</w:t>
            </w:r>
          </w:p>
        </w:tc>
      </w:tr>
      <w:tr w:rsidTr="00E348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4886">
            <w:pPr>
              <w:pStyle w:val="BodyText"/>
              <w:rPr>
                <w:lang w:val="en-NZ"/>
              </w:rPr>
            </w:pPr>
            <w:r w:rsidRPr="00E34886">
              <w:t>2.3</w:t>
            </w:r>
          </w:p>
        </w:tc>
        <w:tc>
          <w:tcPr>
            <w:tcW w:w="5610" w:type="dxa"/>
            <w:tcBorders>
              <w:top w:val="nil"/>
              <w:left w:val="nil"/>
              <w:bottom w:val="nil"/>
              <w:right w:val="nil"/>
            </w:tcBorders>
            <w:tcMar>
              <w:top w:w="0" w:type="dxa"/>
              <w:left w:w="62" w:type="dxa"/>
              <w:bottom w:w="0" w:type="dxa"/>
              <w:right w:w="62" w:type="dxa"/>
            </w:tcMar>
          </w:tcPr>
          <w:p w:rsidR="00000000" w:rsidP="00E34886">
            <w:pPr>
              <w:pStyle w:val="BodyText"/>
              <w:rPr>
                <w:lang w:val="en-NZ"/>
              </w:rPr>
            </w:pPr>
            <w:r w:rsidRPr="00E34886">
              <w:t>Document the agreed process steps using the selected process mapping technique.</w:t>
            </w:r>
          </w:p>
        </w:tc>
      </w:tr>
      <w:tr w:rsidTr="00E348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4886">
            <w:pPr>
              <w:pStyle w:val="BodyText"/>
              <w:rPr>
                <w:lang w:val="en-NZ"/>
              </w:rPr>
            </w:pPr>
            <w:r w:rsidRPr="00E34886">
              <w:t>2.4</w:t>
            </w:r>
          </w:p>
        </w:tc>
        <w:tc>
          <w:tcPr>
            <w:tcW w:w="5610" w:type="dxa"/>
            <w:tcBorders>
              <w:top w:val="nil"/>
              <w:left w:val="nil"/>
              <w:bottom w:val="nil"/>
              <w:right w:val="nil"/>
            </w:tcBorders>
            <w:tcMar>
              <w:top w:w="0" w:type="dxa"/>
              <w:left w:w="62" w:type="dxa"/>
              <w:bottom w:w="0" w:type="dxa"/>
              <w:right w:w="62" w:type="dxa"/>
            </w:tcMar>
          </w:tcPr>
          <w:p w:rsidR="00000000" w:rsidP="00E34886">
            <w:pPr>
              <w:pStyle w:val="BodyText"/>
              <w:rPr>
                <w:lang w:val="en-NZ"/>
              </w:rPr>
            </w:pPr>
            <w:r w:rsidRPr="00E34886">
              <w:t>Document the aspects being mapped using the selected process mapping technique, and show how they relate to the steps.</w:t>
            </w:r>
          </w:p>
        </w:tc>
      </w:tr>
      <w:tr w:rsidTr="00E348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4886">
            <w:pPr>
              <w:pStyle w:val="BodyText"/>
              <w:rPr>
                <w:lang w:val="en-NZ"/>
              </w:rPr>
            </w:pPr>
            <w:r w:rsidRPr="00E34886">
              <w:t>2.5</w:t>
            </w:r>
          </w:p>
        </w:tc>
        <w:tc>
          <w:tcPr>
            <w:tcW w:w="5610" w:type="dxa"/>
            <w:tcBorders>
              <w:top w:val="nil"/>
              <w:left w:val="nil"/>
              <w:bottom w:val="nil"/>
              <w:right w:val="nil"/>
            </w:tcBorders>
            <w:tcMar>
              <w:top w:w="0" w:type="dxa"/>
              <w:left w:w="62" w:type="dxa"/>
              <w:bottom w:w="0" w:type="dxa"/>
              <w:right w:w="62" w:type="dxa"/>
            </w:tcMar>
          </w:tcPr>
          <w:p w:rsidR="00000000" w:rsidP="00E34886">
            <w:pPr>
              <w:pStyle w:val="BodyText"/>
              <w:rPr>
                <w:lang w:val="en-NZ"/>
              </w:rPr>
            </w:pPr>
            <w:r w:rsidRPr="00E34886">
              <w:t>Validate steps and techniques with appropriate internal or external sources of information.</w:t>
            </w:r>
          </w:p>
        </w:tc>
      </w:tr>
      <w:tr w:rsidTr="00E3488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34886">
            <w:pPr>
              <w:pStyle w:val="BodyText"/>
              <w:rPr>
                <w:lang w:val="en-NZ"/>
              </w:rPr>
            </w:pPr>
          </w:p>
        </w:tc>
      </w:tr>
      <w:tr w:rsidTr="00E348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34886" w:rsidP="00E34886">
            <w:pPr>
              <w:pStyle w:val="BodyText"/>
            </w:pPr>
            <w:r w:rsidRPr="00E34886">
              <w:t>3</w:t>
            </w:r>
          </w:p>
        </w:tc>
        <w:tc>
          <w:tcPr>
            <w:tcW w:w="1962" w:type="dxa"/>
            <w:vMerge w:val="restart"/>
            <w:tcBorders>
              <w:top w:val="nil"/>
              <w:left w:val="nil"/>
              <w:bottom w:val="nil"/>
              <w:right w:val="nil"/>
            </w:tcBorders>
            <w:tcMar>
              <w:top w:w="0" w:type="dxa"/>
              <w:left w:w="62" w:type="dxa"/>
              <w:bottom w:w="0" w:type="dxa"/>
              <w:right w:w="62" w:type="dxa"/>
            </w:tcMar>
          </w:tcPr>
          <w:p w:rsidR="00000000" w:rsidP="00E34886">
            <w:pPr>
              <w:pStyle w:val="BodyText"/>
              <w:rPr>
                <w:lang w:val="en-NZ"/>
              </w:rPr>
            </w:pPr>
            <w:r w:rsidRPr="00E34886">
              <w:rPr>
                <w:rStyle w:val="SpecialBold"/>
              </w:rPr>
              <w:t>Apply the map</w:t>
            </w:r>
          </w:p>
        </w:tc>
        <w:tc>
          <w:tcPr>
            <w:tcW w:w="770" w:type="dxa"/>
            <w:tcBorders>
              <w:top w:val="nil"/>
              <w:left w:val="nil"/>
              <w:bottom w:val="nil"/>
              <w:right w:val="nil"/>
            </w:tcBorders>
            <w:tcMar>
              <w:top w:w="0" w:type="dxa"/>
              <w:left w:w="62" w:type="dxa"/>
              <w:bottom w:w="0" w:type="dxa"/>
              <w:right w:w="62" w:type="dxa"/>
            </w:tcMar>
          </w:tcPr>
          <w:p w:rsidR="00000000" w:rsidP="00E34886">
            <w:pPr>
              <w:pStyle w:val="BodyText"/>
              <w:rPr>
                <w:lang w:val="en-NZ"/>
              </w:rPr>
            </w:pPr>
            <w:r w:rsidRPr="00E34886">
              <w:t>3.1</w:t>
            </w:r>
          </w:p>
        </w:tc>
        <w:tc>
          <w:tcPr>
            <w:tcW w:w="5610" w:type="dxa"/>
            <w:tcBorders>
              <w:top w:val="nil"/>
              <w:left w:val="nil"/>
              <w:bottom w:val="nil"/>
              <w:right w:val="nil"/>
            </w:tcBorders>
            <w:tcMar>
              <w:top w:w="0" w:type="dxa"/>
              <w:left w:w="62" w:type="dxa"/>
              <w:bottom w:w="0" w:type="dxa"/>
              <w:right w:w="62" w:type="dxa"/>
            </w:tcMar>
          </w:tcPr>
          <w:p w:rsidR="00000000" w:rsidP="00E34886">
            <w:pPr>
              <w:pStyle w:val="BodyText"/>
              <w:rPr>
                <w:lang w:val="en-NZ"/>
              </w:rPr>
            </w:pPr>
            <w:r w:rsidRPr="00E34886">
              <w:t>Analyse the process map to ensure that it is fit for its intended purpose.</w:t>
            </w:r>
          </w:p>
        </w:tc>
      </w:tr>
      <w:tr w:rsidTr="00E348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4886">
            <w:pPr>
              <w:pStyle w:val="BodyText"/>
              <w:rPr>
                <w:lang w:val="en-NZ"/>
              </w:rPr>
            </w:pPr>
            <w:r w:rsidRPr="00E34886">
              <w:t>3.2</w:t>
            </w:r>
          </w:p>
        </w:tc>
        <w:tc>
          <w:tcPr>
            <w:tcW w:w="5610" w:type="dxa"/>
            <w:tcBorders>
              <w:top w:val="nil"/>
              <w:left w:val="nil"/>
              <w:bottom w:val="nil"/>
              <w:right w:val="nil"/>
            </w:tcBorders>
            <w:tcMar>
              <w:top w:w="0" w:type="dxa"/>
              <w:left w:w="62" w:type="dxa"/>
              <w:bottom w:w="0" w:type="dxa"/>
              <w:right w:w="62" w:type="dxa"/>
            </w:tcMar>
          </w:tcPr>
          <w:p w:rsidR="00000000" w:rsidP="00E34886">
            <w:pPr>
              <w:pStyle w:val="BodyText"/>
              <w:rPr>
                <w:lang w:val="en-NZ"/>
              </w:rPr>
            </w:pPr>
            <w:r w:rsidRPr="00E34886">
              <w:t>Identify any further changes needed to the process map as a result of the analysis.</w:t>
            </w:r>
          </w:p>
        </w:tc>
      </w:tr>
      <w:tr w:rsidTr="00E348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4886">
            <w:pPr>
              <w:pStyle w:val="BodyText"/>
              <w:rPr>
                <w:lang w:val="en-NZ"/>
              </w:rPr>
            </w:pPr>
            <w:r w:rsidRPr="00E34886">
              <w:t>3.3</w:t>
            </w:r>
          </w:p>
        </w:tc>
        <w:tc>
          <w:tcPr>
            <w:tcW w:w="5610" w:type="dxa"/>
            <w:tcBorders>
              <w:top w:val="nil"/>
              <w:left w:val="nil"/>
              <w:bottom w:val="nil"/>
              <w:right w:val="nil"/>
            </w:tcBorders>
            <w:tcMar>
              <w:top w:w="0" w:type="dxa"/>
              <w:left w:w="62" w:type="dxa"/>
              <w:bottom w:w="0" w:type="dxa"/>
              <w:right w:w="62" w:type="dxa"/>
            </w:tcMar>
          </w:tcPr>
          <w:p w:rsidR="00000000" w:rsidRPr="00E34886" w:rsidP="00E34886">
            <w:pPr>
              <w:pStyle w:val="BodyText"/>
            </w:pPr>
            <w:r w:rsidRPr="00E34886">
              <w:t>Validate changes and finalise process map.</w:t>
            </w:r>
          </w:p>
        </w:tc>
      </w:tr>
    </w:tbl>
    <w:p w:rsidR="00000000" w:rsidRPr="00E34886" w:rsidP="00E34886">
      <w:pPr>
        <w:pStyle w:val="BodyText"/>
      </w:pPr>
    </w:p>
    <w:p w:rsidR="00000000" w:rsidRPr="00E34886" w:rsidP="00E34886">
      <w:pPr>
        <w:pStyle w:val="AllowPageBreak"/>
      </w:pPr>
    </w:p>
    <w:p w:rsidR="00000000" w:rsidRPr="00E34886" w:rsidP="00E34886">
      <w:pPr>
        <w:pStyle w:val="Heading1"/>
      </w:pPr>
      <w:bookmarkStart w:id="7" w:name="O_920609"/>
      <w:bookmarkEnd w:id="7"/>
      <w:r w:rsidRPr="00E34886">
        <w:t>Foundation Skills</w:t>
      </w:r>
    </w:p>
    <w:p w:rsidR="00000000" w:rsidRPr="00E34886" w:rsidP="006B4677">
      <w:pPr>
        <w:pStyle w:val="BodyText"/>
      </w:pPr>
      <w:r w:rsidRPr="00E34886">
        <w:t>This section describes those required skills (language, literacy and numeracy) that are essential to performance.</w:t>
      </w:r>
    </w:p>
    <w:p w:rsidR="00000000" w:rsidRPr="00E34886" w:rsidP="006B4677">
      <w:pPr>
        <w:pStyle w:val="BodyText"/>
      </w:pPr>
      <w:r w:rsidRPr="00E34886">
        <w:t>Foundation skills essential to performance are explicit in the performance criteria of this unit of competency.</w:t>
      </w:r>
    </w:p>
    <w:p w:rsidR="00000000" w:rsidRPr="00E34886" w:rsidP="00E34886">
      <w:pPr>
        <w:pStyle w:val="Heading1"/>
      </w:pPr>
      <w:bookmarkStart w:id="8" w:name="O_920608"/>
      <w:bookmarkEnd w:id="8"/>
      <w:r w:rsidRPr="00E34886">
        <w:t>Range of Con</w:t>
      </w:r>
      <w:r w:rsidRPr="00E34886">
        <w:t>ditions</w:t>
      </w:r>
    </w:p>
    <w:tbl>
      <w:tblPr>
        <w:tblW w:w="0" w:type="auto"/>
        <w:tblLayout w:type="fixed"/>
        <w:tblCellMar>
          <w:left w:w="62" w:type="dxa"/>
          <w:right w:w="62" w:type="dxa"/>
        </w:tblCellMar>
        <w:tblLook w:val="0000"/>
      </w:tblPr>
      <w:tblGrid>
        <w:gridCol w:w="2214"/>
        <w:gridCol w:w="6858"/>
      </w:tblGrid>
      <w:tr w:rsidTr="00E3488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34886">
            <w:pPr>
              <w:pStyle w:val="BodyText"/>
              <w:rPr>
                <w:lang w:val="en-NZ"/>
              </w:rPr>
            </w:pPr>
            <w:r w:rsidRPr="00E34886">
              <w:t>This field allows for different work environments and conditions that may affect performance. Essential operating conditions that may be present (depending on the work situation, needs of the candidate, accessibility of the item, and local industry</w:t>
            </w:r>
            <w:r w:rsidRPr="00E34886">
              <w:t xml:space="preserve"> and regional contexts) are included.</w:t>
            </w:r>
          </w:p>
        </w:tc>
      </w:tr>
      <w:tr w:rsidTr="00E34886">
        <w:tblPrEx>
          <w:tblW w:w="0" w:type="auto"/>
          <w:tblLayout w:type="fixed"/>
          <w:tblCellMar>
            <w:left w:w="62" w:type="dxa"/>
            <w:right w:w="62" w:type="dxa"/>
          </w:tblCellMar>
          <w:tblLook w:val="0000"/>
        </w:tblPrEx>
        <w:tc>
          <w:tcPr>
            <w:tcW w:w="2214" w:type="dxa"/>
            <w:tcBorders>
              <w:top w:val="nil"/>
              <w:left w:val="nil"/>
              <w:bottom w:val="nil"/>
              <w:right w:val="nil"/>
            </w:tcBorders>
            <w:tcMar>
              <w:top w:w="0" w:type="dxa"/>
              <w:left w:w="62" w:type="dxa"/>
              <w:bottom w:w="0" w:type="dxa"/>
              <w:right w:w="62" w:type="dxa"/>
            </w:tcMar>
          </w:tcPr>
          <w:p w:rsidR="00000000" w:rsidP="00E34886">
            <w:pPr>
              <w:pStyle w:val="BodyText"/>
              <w:rPr>
                <w:lang w:val="en-NZ"/>
              </w:rPr>
            </w:pPr>
            <w:r w:rsidRPr="00E34886">
              <w:rPr>
                <w:rStyle w:val="SpecialBold"/>
              </w:rPr>
              <w:t>Competitive systems and practices include one or more of:</w:t>
            </w:r>
          </w:p>
        </w:tc>
        <w:tc>
          <w:tcPr>
            <w:tcW w:w="6858" w:type="dxa"/>
            <w:tcBorders>
              <w:top w:val="nil"/>
              <w:left w:val="nil"/>
              <w:bottom w:val="nil"/>
              <w:right w:val="nil"/>
            </w:tcBorders>
            <w:tcMar>
              <w:top w:w="0" w:type="dxa"/>
              <w:left w:w="62" w:type="dxa"/>
              <w:bottom w:w="0" w:type="dxa"/>
              <w:right w:w="62" w:type="dxa"/>
            </w:tcMar>
          </w:tcPr>
          <w:p w:rsidR="00000000" w:rsidRPr="00E34886" w:rsidP="00E34886">
            <w:pPr>
              <w:pStyle w:val="ListBullet"/>
            </w:pPr>
            <w:r w:rsidRPr="00E34886">
              <w:t>lean operations</w:t>
            </w:r>
          </w:p>
          <w:p w:rsidR="00000000" w:rsidRPr="00E34886" w:rsidP="00E34886">
            <w:pPr>
              <w:pStyle w:val="ListBullet"/>
            </w:pPr>
            <w:r w:rsidRPr="00E34886">
              <w:t>agile operations</w:t>
            </w:r>
          </w:p>
          <w:p w:rsidR="00000000" w:rsidRPr="00E34886" w:rsidP="00E34886">
            <w:pPr>
              <w:pStyle w:val="ListBullet"/>
            </w:pPr>
            <w:r w:rsidRPr="00E34886">
              <w:t>preventative and predictive maintenance approaches</w:t>
            </w:r>
          </w:p>
          <w:p w:rsidR="00000000" w:rsidRPr="00E34886" w:rsidP="00E34886">
            <w:pPr>
              <w:pStyle w:val="ListBullet"/>
            </w:pPr>
            <w:r w:rsidRPr="00E34886">
              <w:t>statistical process control systems, including six sigma and three sigma</w:t>
            </w:r>
          </w:p>
          <w:p w:rsidR="00000000" w:rsidRPr="00E34886" w:rsidP="00E34886">
            <w:pPr>
              <w:pStyle w:val="ListBullet"/>
            </w:pPr>
            <w:r w:rsidRPr="00E34886">
              <w:t>Just in Time (JIT), kanban and other pull-related operations control systems</w:t>
            </w:r>
          </w:p>
          <w:p w:rsidR="00000000" w:rsidRPr="00E34886" w:rsidP="00E34886">
            <w:pPr>
              <w:pStyle w:val="ListBullet"/>
            </w:pPr>
            <w:r w:rsidRPr="00E34886">
              <w:t>supply, value, and demand chain monitoring and analysis</w:t>
            </w:r>
          </w:p>
          <w:p w:rsidR="00000000" w:rsidRPr="00E34886" w:rsidP="00E34886">
            <w:pPr>
              <w:pStyle w:val="ListBullet"/>
            </w:pPr>
            <w:r w:rsidRPr="00E34886">
              <w:t xml:space="preserve">5S </w:t>
            </w:r>
          </w:p>
          <w:p w:rsidR="00000000" w:rsidRPr="00E34886" w:rsidP="00E34886">
            <w:pPr>
              <w:pStyle w:val="ListBullet"/>
            </w:pPr>
            <w:r w:rsidRPr="00E34886">
              <w:t>continuous improvement (kaizen)</w:t>
            </w:r>
          </w:p>
          <w:p w:rsidR="00000000" w:rsidRPr="00E34886" w:rsidP="00E34886">
            <w:pPr>
              <w:pStyle w:val="ListBullet"/>
            </w:pPr>
            <w:r w:rsidRPr="00E34886">
              <w:t>breakthrough improvement (kaizen blitz)</w:t>
            </w:r>
          </w:p>
          <w:p w:rsidR="00000000" w:rsidRPr="00E34886" w:rsidP="00E34886">
            <w:pPr>
              <w:pStyle w:val="ListBullet"/>
            </w:pPr>
            <w:r w:rsidRPr="00E34886">
              <w:t>cause/effect diagrams</w:t>
            </w:r>
          </w:p>
          <w:p w:rsidR="00000000" w:rsidRPr="00E34886" w:rsidP="00E34886">
            <w:pPr>
              <w:pStyle w:val="ListBullet"/>
            </w:pPr>
            <w:r w:rsidRPr="00E34886">
              <w:t>overall equipment effecti</w:t>
            </w:r>
            <w:r w:rsidRPr="00E34886">
              <w:t>veness (OEE)</w:t>
            </w:r>
          </w:p>
          <w:p w:rsidR="00000000" w:rsidRPr="00E34886" w:rsidP="00E34886">
            <w:pPr>
              <w:pStyle w:val="ListBullet"/>
            </w:pPr>
            <w:r w:rsidRPr="00E34886">
              <w:t>takt time</w:t>
            </w:r>
          </w:p>
          <w:p w:rsidR="00000000" w:rsidRPr="00E34886" w:rsidP="00E34886">
            <w:pPr>
              <w:pStyle w:val="ListBullet"/>
            </w:pPr>
            <w:r w:rsidRPr="00E34886">
              <w:t>process mapping</w:t>
            </w:r>
          </w:p>
          <w:p w:rsidR="00000000" w:rsidRPr="00E34886" w:rsidP="00E34886">
            <w:pPr>
              <w:pStyle w:val="ListBullet"/>
            </w:pPr>
            <w:r w:rsidRPr="00E34886">
              <w:t xml:space="preserve">problem solving </w:t>
            </w:r>
          </w:p>
          <w:p w:rsidR="00000000" w:rsidRPr="00E34886" w:rsidP="00E34886">
            <w:pPr>
              <w:pStyle w:val="ListBullet"/>
            </w:pPr>
            <w:r w:rsidRPr="00E34886">
              <w:t>run charts</w:t>
            </w:r>
          </w:p>
          <w:p w:rsidR="00000000" w:rsidRPr="00E34886" w:rsidP="00E34886">
            <w:pPr>
              <w:pStyle w:val="ListBullet"/>
            </w:pPr>
            <w:r w:rsidRPr="00E34886">
              <w:t>standard procedures</w:t>
            </w:r>
          </w:p>
          <w:p w:rsidR="00000000" w:rsidRPr="00E34886" w:rsidP="00E34886">
            <w:pPr>
              <w:pStyle w:val="ListBullet"/>
            </w:pPr>
            <w:r w:rsidRPr="00E34886">
              <w:t>current reality tree.</w:t>
            </w:r>
          </w:p>
          <w:p w:rsidR="00000000" w:rsidP="00E34886">
            <w:pPr>
              <w:pStyle w:val="BodyText"/>
              <w:rPr>
                <w:lang w:val="en-NZ"/>
              </w:rPr>
            </w:pPr>
          </w:p>
        </w:tc>
      </w:tr>
      <w:tr w:rsidTr="00E34886">
        <w:tblPrEx>
          <w:tblW w:w="0" w:type="auto"/>
          <w:tblLayout w:type="fixed"/>
          <w:tblCellMar>
            <w:left w:w="62" w:type="dxa"/>
            <w:right w:w="62" w:type="dxa"/>
          </w:tblCellMar>
          <w:tblLook w:val="0000"/>
        </w:tblPrEx>
        <w:tc>
          <w:tcPr>
            <w:tcW w:w="2214" w:type="dxa"/>
            <w:tcBorders>
              <w:top w:val="nil"/>
              <w:left w:val="nil"/>
              <w:bottom w:val="nil"/>
              <w:right w:val="nil"/>
            </w:tcBorders>
            <w:tcMar>
              <w:top w:w="0" w:type="dxa"/>
              <w:left w:w="62" w:type="dxa"/>
              <w:bottom w:w="0" w:type="dxa"/>
              <w:right w:w="62" w:type="dxa"/>
            </w:tcMar>
          </w:tcPr>
          <w:p w:rsidR="00000000" w:rsidP="00E34886">
            <w:pPr>
              <w:pStyle w:val="BodyText"/>
              <w:rPr>
                <w:lang w:val="en-NZ"/>
              </w:rPr>
            </w:pPr>
            <w:r w:rsidRPr="00E34886">
              <w:rPr>
                <w:rStyle w:val="SpecialBold"/>
              </w:rPr>
              <w:t>Appropriate process mapping techniques produce hard or soft copy visual representation and include one or more of:</w:t>
            </w:r>
          </w:p>
        </w:tc>
        <w:tc>
          <w:tcPr>
            <w:tcW w:w="6858" w:type="dxa"/>
            <w:tcBorders>
              <w:top w:val="nil"/>
              <w:left w:val="nil"/>
              <w:bottom w:val="nil"/>
              <w:right w:val="nil"/>
            </w:tcBorders>
            <w:tcMar>
              <w:top w:w="0" w:type="dxa"/>
              <w:left w:w="62" w:type="dxa"/>
              <w:bottom w:w="0" w:type="dxa"/>
              <w:right w:w="62" w:type="dxa"/>
            </w:tcMar>
          </w:tcPr>
          <w:p w:rsidR="00000000" w:rsidRPr="00E34886" w:rsidP="00E34886">
            <w:pPr>
              <w:pStyle w:val="ListBullet"/>
            </w:pPr>
            <w:r w:rsidRPr="00E34886">
              <w:t>supplier-input-process-output-customer (SIPOC)</w:t>
            </w:r>
          </w:p>
          <w:p w:rsidR="00000000" w:rsidRPr="00E34886" w:rsidP="00E34886">
            <w:pPr>
              <w:pStyle w:val="ListBullet"/>
            </w:pPr>
            <w:r w:rsidRPr="00E34886">
              <w:t>high-level process map</w:t>
            </w:r>
          </w:p>
          <w:p w:rsidR="00000000" w:rsidRPr="00E34886" w:rsidP="00E34886">
            <w:pPr>
              <w:pStyle w:val="ListBullet"/>
            </w:pPr>
            <w:r w:rsidRPr="00E34886">
              <w:t>process flow chart</w:t>
            </w:r>
          </w:p>
          <w:p w:rsidR="00000000" w:rsidRPr="00E34886" w:rsidP="00E34886">
            <w:pPr>
              <w:pStyle w:val="ListBullet"/>
            </w:pPr>
            <w:r w:rsidRPr="00E34886">
              <w:t>top down</w:t>
            </w:r>
          </w:p>
          <w:p w:rsidR="00000000" w:rsidRPr="00E34886" w:rsidP="00E34886">
            <w:pPr>
              <w:pStyle w:val="ListBullet"/>
            </w:pPr>
            <w:r w:rsidRPr="00E34886">
              <w:t>responsibility matrix</w:t>
            </w:r>
          </w:p>
          <w:p w:rsidR="00000000" w:rsidRPr="00E34886" w:rsidP="00E34886">
            <w:pPr>
              <w:pStyle w:val="ListBullet"/>
            </w:pPr>
            <w:r w:rsidRPr="00E34886">
              <w:t>document map</w:t>
            </w:r>
          </w:p>
          <w:p w:rsidR="00000000" w:rsidRPr="00E34886" w:rsidP="00E34886">
            <w:pPr>
              <w:pStyle w:val="ListBullet"/>
            </w:pPr>
            <w:r w:rsidRPr="00E34886">
              <w:t xml:space="preserve">cross-functional or swim lanes process map </w:t>
            </w:r>
          </w:p>
          <w:p w:rsidR="00000000" w:rsidRPr="00E34886" w:rsidP="00E34886">
            <w:pPr>
              <w:pStyle w:val="ListBullet"/>
            </w:pPr>
            <w:r w:rsidRPr="00E34886">
              <w:t>work flow diagram</w:t>
            </w:r>
          </w:p>
          <w:p w:rsidR="00000000" w:rsidRPr="00E34886" w:rsidP="00E34886">
            <w:pPr>
              <w:pStyle w:val="ListBullet"/>
            </w:pPr>
            <w:r w:rsidRPr="00E34886">
              <w:t>Visio</w:t>
            </w:r>
          </w:p>
          <w:p w:rsidR="00000000" w:rsidRPr="00E34886" w:rsidP="00E34886">
            <w:pPr>
              <w:pStyle w:val="ListBullet"/>
            </w:pPr>
            <w:r w:rsidRPr="00E34886">
              <w:t>computer-aided design/drafting (CAD) programs</w:t>
            </w:r>
          </w:p>
          <w:p w:rsidR="00000000" w:rsidRPr="00E34886" w:rsidP="00E34886">
            <w:pPr>
              <w:pStyle w:val="ListBullet"/>
            </w:pPr>
            <w:r w:rsidRPr="00E34886">
              <w:t>Microsoft Project</w:t>
            </w:r>
          </w:p>
          <w:p w:rsidR="00000000" w:rsidRPr="00E34886" w:rsidP="00E34886">
            <w:pPr>
              <w:pStyle w:val="ListBullet"/>
            </w:pPr>
            <w:r w:rsidRPr="00E34886">
              <w:t>other graphic, modelling or flow chart applications.</w:t>
            </w:r>
          </w:p>
          <w:p w:rsidR="00000000" w:rsidP="00E34886">
            <w:pPr>
              <w:pStyle w:val="BodyText"/>
              <w:rPr>
                <w:lang w:val="en-NZ"/>
              </w:rPr>
            </w:pPr>
          </w:p>
        </w:tc>
      </w:tr>
      <w:tr w:rsidTr="00E34886">
        <w:tblPrEx>
          <w:tblW w:w="0" w:type="auto"/>
          <w:tblLayout w:type="fixed"/>
          <w:tblCellMar>
            <w:left w:w="62" w:type="dxa"/>
            <w:right w:w="62" w:type="dxa"/>
          </w:tblCellMar>
          <w:tblLook w:val="0000"/>
        </w:tblPrEx>
        <w:tc>
          <w:tcPr>
            <w:tcW w:w="2214" w:type="dxa"/>
            <w:tcBorders>
              <w:top w:val="nil"/>
              <w:left w:val="nil"/>
              <w:bottom w:val="nil"/>
              <w:right w:val="nil"/>
            </w:tcBorders>
            <w:tcMar>
              <w:top w:w="0" w:type="dxa"/>
              <w:left w:w="62" w:type="dxa"/>
              <w:bottom w:w="0" w:type="dxa"/>
              <w:right w:w="62" w:type="dxa"/>
            </w:tcMar>
          </w:tcPr>
          <w:p w:rsidR="00000000" w:rsidP="00E34886">
            <w:pPr>
              <w:pStyle w:val="BodyText"/>
              <w:rPr>
                <w:lang w:val="en-NZ"/>
              </w:rPr>
            </w:pPr>
            <w:r w:rsidRPr="00E34886">
              <w:rPr>
                <w:rStyle w:val="SpecialBold"/>
              </w:rPr>
              <w:t>Aspects to focus on include one or more of:</w:t>
            </w:r>
          </w:p>
        </w:tc>
        <w:tc>
          <w:tcPr>
            <w:tcW w:w="6858" w:type="dxa"/>
            <w:tcBorders>
              <w:top w:val="nil"/>
              <w:left w:val="nil"/>
              <w:bottom w:val="nil"/>
              <w:right w:val="nil"/>
            </w:tcBorders>
            <w:tcMar>
              <w:top w:w="0" w:type="dxa"/>
              <w:left w:w="62" w:type="dxa"/>
              <w:bottom w:w="0" w:type="dxa"/>
              <w:right w:w="62" w:type="dxa"/>
            </w:tcMar>
          </w:tcPr>
          <w:p w:rsidR="00000000" w:rsidRPr="00E34886" w:rsidP="00E34886">
            <w:pPr>
              <w:pStyle w:val="ListBullet"/>
            </w:pPr>
            <w:r w:rsidRPr="00E34886">
              <w:t>process activities</w:t>
            </w:r>
          </w:p>
          <w:p w:rsidR="00000000" w:rsidRPr="00E34886" w:rsidP="00E34886">
            <w:pPr>
              <w:pStyle w:val="ListBullet"/>
            </w:pPr>
            <w:r w:rsidRPr="00E34886">
              <w:t xml:space="preserve">flow of information and/or documents </w:t>
            </w:r>
          </w:p>
          <w:p w:rsidR="00000000" w:rsidRPr="00E34886" w:rsidP="00E34886">
            <w:pPr>
              <w:pStyle w:val="ListBullet"/>
            </w:pPr>
            <w:r w:rsidRPr="00E34886">
              <w:t>decision points</w:t>
            </w:r>
          </w:p>
          <w:p w:rsidR="00000000" w:rsidRPr="00E34886" w:rsidP="00E34886">
            <w:pPr>
              <w:pStyle w:val="ListBullet"/>
            </w:pPr>
            <w:r w:rsidRPr="00E34886">
              <w:t>ranking of process steps into:</w:t>
            </w:r>
          </w:p>
          <w:p w:rsidR="00000000" w:rsidRPr="00E34886" w:rsidP="00E34886">
            <w:pPr>
              <w:pStyle w:val="ListBullet2"/>
            </w:pPr>
            <w:r w:rsidRPr="00E34886">
              <w:t xml:space="preserve">essential (process essential for </w:t>
            </w:r>
            <w:r w:rsidRPr="00E34886">
              <w:t>achieving outcomes/goals)</w:t>
            </w:r>
          </w:p>
          <w:p w:rsidR="00000000" w:rsidRPr="00E34886" w:rsidP="00E34886">
            <w:pPr>
              <w:pStyle w:val="ListBullet2"/>
            </w:pPr>
            <w:r w:rsidRPr="00E34886">
              <w:t>important (process which improves outcomes/goals through greater speed or quality)</w:t>
            </w:r>
          </w:p>
          <w:p w:rsidR="00000000" w:rsidRPr="00E34886" w:rsidP="00E34886">
            <w:pPr>
              <w:pStyle w:val="ListBullet2"/>
            </w:pPr>
            <w:r w:rsidRPr="00E34886">
              <w:t>optional (current or required process not related to achievement of outcomes/goals)</w:t>
            </w:r>
          </w:p>
          <w:p w:rsidR="00000000" w:rsidRPr="00E34886" w:rsidP="00E34886">
            <w:pPr>
              <w:pStyle w:val="ListBullet"/>
            </w:pPr>
            <w:r w:rsidRPr="00E34886">
              <w:t>personnel and levels of responsibilities</w:t>
            </w:r>
          </w:p>
          <w:p w:rsidR="00000000" w:rsidRPr="00E34886" w:rsidP="00E34886">
            <w:pPr>
              <w:pStyle w:val="ListBullet"/>
            </w:pPr>
            <w:r w:rsidRPr="00E34886">
              <w:t>cross-functional interactions</w:t>
            </w:r>
          </w:p>
          <w:p w:rsidR="00000000" w:rsidRPr="00E34886" w:rsidP="00E34886">
            <w:pPr>
              <w:pStyle w:val="ListBullet"/>
            </w:pPr>
            <w:r w:rsidRPr="00E34886">
              <w:t>work flow and bottlenecks</w:t>
            </w:r>
          </w:p>
          <w:p w:rsidR="00000000" w:rsidRPr="00E34886" w:rsidP="00E34886">
            <w:pPr>
              <w:pStyle w:val="ListBullet"/>
            </w:pPr>
            <w:r w:rsidRPr="00E34886">
              <w:t>quantifiables, such as lead time, work volume and handoffs.</w:t>
            </w:r>
          </w:p>
          <w:p w:rsidR="00000000" w:rsidP="00E34886">
            <w:pPr>
              <w:pStyle w:val="BodyText"/>
              <w:rPr>
                <w:lang w:val="en-NZ"/>
              </w:rPr>
            </w:pPr>
          </w:p>
        </w:tc>
      </w:tr>
      <w:tr w:rsidTr="00E34886">
        <w:tblPrEx>
          <w:tblW w:w="0" w:type="auto"/>
          <w:tblLayout w:type="fixed"/>
          <w:tblCellMar>
            <w:left w:w="62" w:type="dxa"/>
            <w:right w:w="62" w:type="dxa"/>
          </w:tblCellMar>
          <w:tblLook w:val="0000"/>
        </w:tblPrEx>
        <w:tc>
          <w:tcPr>
            <w:tcW w:w="2214" w:type="dxa"/>
            <w:tcBorders>
              <w:top w:val="nil"/>
              <w:left w:val="nil"/>
              <w:bottom w:val="nil"/>
              <w:right w:val="nil"/>
            </w:tcBorders>
            <w:tcMar>
              <w:top w:w="0" w:type="dxa"/>
              <w:left w:w="62" w:type="dxa"/>
              <w:bottom w:w="0" w:type="dxa"/>
              <w:right w:w="62" w:type="dxa"/>
            </w:tcMar>
          </w:tcPr>
          <w:p w:rsidR="00000000" w:rsidP="00E34886">
            <w:pPr>
              <w:pStyle w:val="BodyText"/>
              <w:rPr>
                <w:lang w:val="en-NZ"/>
              </w:rPr>
            </w:pPr>
            <w:r w:rsidRPr="00E34886">
              <w:rPr>
                <w:rStyle w:val="SpecialBold"/>
              </w:rPr>
              <w:t>Process stakeholders include one or more of:</w:t>
            </w:r>
          </w:p>
        </w:tc>
        <w:tc>
          <w:tcPr>
            <w:tcW w:w="6858" w:type="dxa"/>
            <w:tcBorders>
              <w:top w:val="nil"/>
              <w:left w:val="nil"/>
              <w:bottom w:val="nil"/>
              <w:right w:val="nil"/>
            </w:tcBorders>
            <w:tcMar>
              <w:top w:w="0" w:type="dxa"/>
              <w:left w:w="62" w:type="dxa"/>
              <w:bottom w:w="0" w:type="dxa"/>
              <w:right w:w="62" w:type="dxa"/>
            </w:tcMar>
          </w:tcPr>
          <w:p w:rsidR="00000000" w:rsidRPr="00E34886" w:rsidP="00E34886">
            <w:pPr>
              <w:pStyle w:val="ListBullet"/>
            </w:pPr>
            <w:r w:rsidRPr="00E34886">
              <w:t xml:space="preserve">the person undertaking a single-person process </w:t>
            </w:r>
          </w:p>
          <w:p w:rsidR="00000000" w:rsidRPr="00E34886" w:rsidP="00E34886">
            <w:pPr>
              <w:pStyle w:val="ListBullet"/>
            </w:pPr>
            <w:r w:rsidRPr="00E34886">
              <w:t>a sample/representative of people undertaking each activity or step in a multi-person process</w:t>
            </w:r>
          </w:p>
          <w:p w:rsidR="00000000" w:rsidRPr="00E34886" w:rsidP="00E34886">
            <w:pPr>
              <w:pStyle w:val="ListBullet"/>
            </w:pPr>
            <w:r w:rsidRPr="00E34886">
              <w:t>line managers</w:t>
            </w:r>
          </w:p>
          <w:p w:rsidR="00000000" w:rsidRPr="00E34886" w:rsidP="00E34886">
            <w:pPr>
              <w:pStyle w:val="ListBullet"/>
            </w:pPr>
            <w:r w:rsidRPr="00E34886">
              <w:t>senior managers</w:t>
            </w:r>
          </w:p>
          <w:p w:rsidR="00000000" w:rsidRPr="00E34886" w:rsidP="00E34886">
            <w:pPr>
              <w:pStyle w:val="ListBullet"/>
            </w:pPr>
            <w:r w:rsidRPr="00E34886">
              <w:t>internal customers</w:t>
            </w:r>
          </w:p>
          <w:p w:rsidR="00000000" w:rsidRPr="00E34886" w:rsidP="00E34886">
            <w:pPr>
              <w:pStyle w:val="ListBullet"/>
            </w:pPr>
            <w:r w:rsidRPr="00E34886">
              <w:t>external customers.</w:t>
            </w:r>
          </w:p>
          <w:p w:rsidR="00000000" w:rsidRPr="00E34886" w:rsidP="00E34886">
            <w:pPr>
              <w:pStyle w:val="BodyText"/>
            </w:pPr>
          </w:p>
        </w:tc>
      </w:tr>
    </w:tbl>
    <w:p w:rsidR="00000000" w:rsidRPr="00E34886" w:rsidP="00E34886">
      <w:pPr>
        <w:pStyle w:val="BodyText"/>
      </w:pPr>
    </w:p>
    <w:p w:rsidR="00000000" w:rsidRPr="00E34886" w:rsidP="00E34886">
      <w:pPr>
        <w:pStyle w:val="AllowPageBreak"/>
      </w:pPr>
    </w:p>
    <w:p w:rsidR="00000000" w:rsidRPr="00E34886" w:rsidP="00E34886">
      <w:pPr>
        <w:pStyle w:val="Heading1"/>
      </w:pPr>
      <w:bookmarkStart w:id="9" w:name="O_920607"/>
      <w:bookmarkEnd w:id="9"/>
      <w:r w:rsidRPr="00E34886">
        <w:t>Unit Mapping Information</w:t>
      </w:r>
    </w:p>
    <w:p w:rsidR="00000000" w:rsidRPr="00E34886" w:rsidP="006B4677">
      <w:pPr>
        <w:pStyle w:val="BodyText"/>
      </w:pPr>
      <w:r w:rsidRPr="00E34886">
        <w:t>Release 1. Supersedes and is equivalent to MSS403033A Map an operational process</w:t>
      </w:r>
    </w:p>
    <w:p w:rsidR="00000000" w:rsidRPr="00E34886" w:rsidP="00E34886">
      <w:pPr>
        <w:pStyle w:val="Heading1"/>
      </w:pPr>
      <w:bookmarkStart w:id="10" w:name="O_920600"/>
      <w:bookmarkEnd w:id="10"/>
      <w:r w:rsidRPr="00E34886">
        <w:t>Links</w:t>
      </w:r>
    </w:p>
    <w:p w:rsidR="00000000" w:rsidRPr="00E34886" w:rsidP="006B4677">
      <w:pPr>
        <w:pStyle w:val="BodyText"/>
      </w:pPr>
      <w:r w:rsidRPr="00E34886">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581F4A">
        <w:rPr>
          <w:rStyle w:val="Hyperlink"/>
        </w:rPr>
        <w:t>https://vetnet.gov.au/Pages/TrainingDocs.aspx?q=5b04f318-804f-4dc0-9463-c3fb9a3fe998</w:t>
      </w:r>
      <w:r>
        <w:fldChar w:fldCharType="end"/>
      </w:r>
    </w:p>
    <w:p w:rsidR="00000000" w:rsidRPr="00E34886" w:rsidP="006B4677">
      <w:pPr>
        <w:pStyle w:val="BodyText"/>
        <w:sectPr w:rsidSect="00E34886">
          <w:headerReference w:type="default" r:id="rId10"/>
          <w:footerReference w:type="default" r:id="rId11"/>
          <w:pgSz w:w="11908" w:h="16833"/>
          <w:pgMar w:top="1702" w:right="1418" w:bottom="1702" w:left="1418" w:header="992" w:footer="992" w:gutter="0"/>
          <w:cols w:space="720"/>
          <w:noEndnote/>
          <w:docGrid w:linePitch="299"/>
        </w:sectPr>
      </w:pPr>
    </w:p>
    <w:p w:rsidR="00000000" w:rsidRPr="00E34886" w:rsidP="00E34886">
      <w:pPr>
        <w:pStyle w:val="SuperHeading"/>
      </w:pPr>
      <w:r w:rsidRPr="00E34886">
        <w:t>Assessment Requirements for MSS403033 Map an operational process</w:t>
      </w:r>
    </w:p>
    <w:p w:rsidR="00000000" w:rsidRPr="00E34886" w:rsidP="00E34886">
      <w:pPr>
        <w:pStyle w:val="Heading1"/>
      </w:pPr>
      <w:bookmarkStart w:id="11" w:name="O_920602"/>
      <w:bookmarkEnd w:id="11"/>
      <w:r w:rsidRPr="00E34886">
        <w:t>Modification History</w:t>
      </w:r>
    </w:p>
    <w:p w:rsidR="00000000" w:rsidRPr="00E34886" w:rsidP="006B4677">
      <w:pPr>
        <w:pStyle w:val="BodyText"/>
      </w:pPr>
      <w:r w:rsidRPr="00E34886">
        <w:t>Release 1. Supersedes and is equivalent to MSS403033A Map an operational process</w:t>
      </w:r>
    </w:p>
    <w:p w:rsidR="00000000" w:rsidRPr="00E34886" w:rsidP="00E34886">
      <w:pPr>
        <w:pStyle w:val="Heading1"/>
      </w:pPr>
      <w:bookmarkStart w:id="12" w:name="O_920605"/>
      <w:bookmarkEnd w:id="12"/>
      <w:r w:rsidRPr="00E34886">
        <w:t>Performance Evidence</w:t>
      </w:r>
    </w:p>
    <w:p w:rsidR="00000000" w:rsidRPr="00E34886" w:rsidP="006B4677">
      <w:pPr>
        <w:pStyle w:val="BodyText"/>
      </w:pPr>
      <w:r w:rsidRPr="00E34886">
        <w:t>Evidence required to demonstrate competence in this unit must be relevant to and satisfy the requirements of the elements and performance criteria and include the ability to map an operational process on one (1) or more occasions and t</w:t>
      </w:r>
      <w:r w:rsidRPr="00E34886">
        <w:t>o:</w:t>
      </w:r>
    </w:p>
    <w:p w:rsidR="00000000" w:rsidRPr="00E34886" w:rsidP="00E34886">
      <w:pPr>
        <w:pStyle w:val="ListBullet"/>
      </w:pPr>
      <w:r w:rsidRPr="00E34886">
        <w:t>scope the mapping exercise</w:t>
      </w:r>
    </w:p>
    <w:p w:rsidR="00000000" w:rsidRPr="00E34886" w:rsidP="00E34886">
      <w:pPr>
        <w:pStyle w:val="ListBullet"/>
      </w:pPr>
      <w:r w:rsidRPr="00E34886">
        <w:t>identify and consult with stakeholders</w:t>
      </w:r>
    </w:p>
    <w:p w:rsidR="00000000" w:rsidRPr="00E34886" w:rsidP="00E34886">
      <w:pPr>
        <w:pStyle w:val="ListBullet"/>
      </w:pPr>
      <w:r w:rsidRPr="00E34886">
        <w:t>develop a map to conform with the scope</w:t>
      </w:r>
    </w:p>
    <w:p w:rsidR="00000000" w:rsidRPr="00E34886" w:rsidP="00E34886">
      <w:pPr>
        <w:pStyle w:val="ListBullet"/>
      </w:pPr>
      <w:r w:rsidRPr="00E34886">
        <w:t>validate and finalise the map.</w:t>
      </w:r>
    </w:p>
    <w:p w:rsidR="00000000" w:rsidRPr="00E34886" w:rsidP="00E34886">
      <w:pPr>
        <w:pStyle w:val="AllowPageBreak"/>
      </w:pPr>
    </w:p>
    <w:p w:rsidR="00000000" w:rsidRPr="00E34886" w:rsidP="00E34886">
      <w:pPr>
        <w:pStyle w:val="Heading1"/>
      </w:pPr>
      <w:bookmarkStart w:id="13" w:name="O_920604"/>
      <w:bookmarkEnd w:id="13"/>
      <w:r w:rsidRPr="00E34886">
        <w:t>Knowledge Evidence</w:t>
      </w:r>
    </w:p>
    <w:p w:rsidR="00000000" w:rsidRPr="00E34886" w:rsidP="006B4677">
      <w:pPr>
        <w:pStyle w:val="BodyText"/>
      </w:pPr>
      <w:r w:rsidRPr="00E34886">
        <w:t>Must provide evidence that demonstrates knowledge relevant to their job role sufficient to fulfil their job role independently, including:</w:t>
      </w:r>
    </w:p>
    <w:p w:rsidR="00000000" w:rsidRPr="00E34886" w:rsidP="00E34886">
      <w:pPr>
        <w:pStyle w:val="ListBullet"/>
      </w:pPr>
      <w:r w:rsidRPr="00E34886">
        <w:t>purposes of process mapping</w:t>
      </w:r>
    </w:p>
    <w:p w:rsidR="00000000" w:rsidRPr="00E34886" w:rsidP="00E34886">
      <w:pPr>
        <w:pStyle w:val="ListBullet"/>
      </w:pPr>
      <w:r w:rsidRPr="00E34886">
        <w:t xml:space="preserve">methods of process mapping, including use of relevant software </w:t>
      </w:r>
    </w:p>
    <w:p w:rsidR="00000000" w:rsidRPr="00E34886" w:rsidP="00E34886">
      <w:pPr>
        <w:pStyle w:val="ListBullet"/>
      </w:pPr>
      <w:r w:rsidRPr="00E34886">
        <w:t>implications of includin</w:t>
      </w:r>
      <w:r w:rsidRPr="00E34886">
        <w:t>g or excluding specific activities and/or people from the mapping process</w:t>
      </w:r>
    </w:p>
    <w:p w:rsidR="00000000" w:rsidRPr="00E34886" w:rsidP="00E34886">
      <w:pPr>
        <w:pStyle w:val="ListBullet"/>
      </w:pPr>
      <w:r w:rsidRPr="00E34886">
        <w:t>customer requirements</w:t>
      </w:r>
    </w:p>
    <w:p w:rsidR="00000000" w:rsidRPr="00E34886" w:rsidP="00E34886">
      <w:pPr>
        <w:pStyle w:val="ListBullet"/>
      </w:pPr>
      <w:r w:rsidRPr="00E34886">
        <w:t>methods of identifying and evaluating options</w:t>
      </w:r>
    </w:p>
    <w:p w:rsidR="00000000" w:rsidRPr="00E34886" w:rsidP="00E34886">
      <w:pPr>
        <w:pStyle w:val="ListBullet"/>
      </w:pPr>
      <w:r w:rsidRPr="00E34886">
        <w:t>analysis and validation of process maps.</w:t>
      </w:r>
    </w:p>
    <w:p w:rsidR="00000000" w:rsidRPr="00E34886" w:rsidP="00E34886">
      <w:pPr>
        <w:pStyle w:val="AllowPageBreak"/>
      </w:pPr>
    </w:p>
    <w:p w:rsidR="00000000" w:rsidRPr="00E34886" w:rsidP="00E34886">
      <w:pPr>
        <w:pStyle w:val="Heading1"/>
      </w:pPr>
      <w:bookmarkStart w:id="14" w:name="O_920603"/>
      <w:bookmarkEnd w:id="14"/>
      <w:r w:rsidRPr="00E34886">
        <w:t>Assessment Conditions</w:t>
      </w:r>
    </w:p>
    <w:p w:rsidR="00000000" w:rsidRPr="00E34886" w:rsidP="00E34886">
      <w:pPr>
        <w:pStyle w:val="ListBullet"/>
      </w:pPr>
      <w:r w:rsidRPr="00E34886">
        <w:t>The unit should be assessed holis</w:t>
      </w:r>
      <w:r w:rsidRPr="00E34886">
        <w:t xml:space="preserve">tically and the judgement of competence shall be based on a holistic assessment of the evidence. </w:t>
      </w:r>
    </w:p>
    <w:p w:rsidR="00000000" w:rsidRPr="00E34886" w:rsidP="00E34886">
      <w:pPr>
        <w:pStyle w:val="ListBullet"/>
      </w:pPr>
      <w:r w:rsidRPr="00E34886">
        <w:t>The collection of performance evidence is best done from a report and/or folio of evidence drawn from:</w:t>
      </w:r>
    </w:p>
    <w:p w:rsidR="00000000" w:rsidRPr="00E34886" w:rsidP="00E34886">
      <w:pPr>
        <w:pStyle w:val="ListBullet2"/>
      </w:pPr>
      <w:r w:rsidRPr="00E34886">
        <w:t>a single project which provides sufficient evidence of</w:t>
      </w:r>
      <w:r w:rsidRPr="00E34886">
        <w:t xml:space="preserve"> the requirements of all the elements and performance criteria</w:t>
      </w:r>
    </w:p>
    <w:p w:rsidR="00000000" w:rsidRPr="00E34886" w:rsidP="00E34886">
      <w:pPr>
        <w:pStyle w:val="ListBullet2"/>
      </w:pPr>
      <w:r w:rsidRPr="00E34886">
        <w:t>multiple smaller projects which together provide sufficient evidence of the requirements of all the elements and performance criteria.</w:t>
      </w:r>
    </w:p>
    <w:p w:rsidR="00000000" w:rsidRPr="00E34886" w:rsidP="00E34886">
      <w:pPr>
        <w:pStyle w:val="ListBullet"/>
      </w:pPr>
      <w:r w:rsidRPr="00E34886">
        <w:t>A third-party report, or similar, may be needed to testify to the work done by the individual, particularly when the project has been done as part of a project team.</w:t>
      </w:r>
    </w:p>
    <w:p w:rsidR="00000000" w:rsidRPr="00E34886" w:rsidP="00E34886">
      <w:pPr>
        <w:pStyle w:val="ListBullet"/>
      </w:pPr>
      <w:r w:rsidRPr="00E34886">
        <w:t xml:space="preserve">Assessment should use a real process mapping activity in an operational workplace. </w:t>
      </w:r>
    </w:p>
    <w:p w:rsidR="00000000" w:rsidRPr="00E34886" w:rsidP="00E34886">
      <w:pPr>
        <w:pStyle w:val="ListBullet"/>
      </w:pPr>
      <w:r w:rsidRPr="00E34886">
        <w:t>Knowle</w:t>
      </w:r>
      <w:r w:rsidRPr="00E34886">
        <w:t>dge evidence may be collected concurrently with performance evidence or through an independent process such as workbooks, written assessments or interviews (provided a record is kept).</w:t>
      </w:r>
    </w:p>
    <w:p w:rsidR="00000000" w:rsidRPr="00E34886" w:rsidP="00E34886">
      <w:pPr>
        <w:pStyle w:val="ListBullet"/>
      </w:pPr>
      <w:r w:rsidRPr="00E34886">
        <w:t>Assessment processes and techniques must be appropriate to the language</w:t>
      </w:r>
      <w:r w:rsidRPr="00E34886">
        <w:t>, literacy and numeracy requirements of the work being performed and the needs of the candidate.</w:t>
      </w:r>
    </w:p>
    <w:p w:rsidR="00000000" w:rsidRPr="00E34886" w:rsidP="00E34886">
      <w:pPr>
        <w:pStyle w:val="ListBullet"/>
      </w:pPr>
      <w:r w:rsidRPr="00E34886">
        <w:t>Conditions for assessment must include access to all tools, equipment, materials and documentation required, including relevant workplace procedures, product a</w:t>
      </w:r>
      <w:r w:rsidRPr="00E34886">
        <w:t>nd manufacturing specifications associated with this unit.</w:t>
      </w:r>
    </w:p>
    <w:p w:rsidR="00000000" w:rsidRPr="00E34886" w:rsidP="00E34886">
      <w:pPr>
        <w:pStyle w:val="ListBullet"/>
      </w:pPr>
      <w:r w:rsidRPr="00E34886">
        <w:t>Foundation skills are integral to competent performance of the unit and should not be assessed separately.</w:t>
      </w:r>
    </w:p>
    <w:p w:rsidR="00000000" w:rsidRPr="00E34886" w:rsidP="00E34886">
      <w:pPr>
        <w:pStyle w:val="ListBullet"/>
      </w:pPr>
      <w:r w:rsidRPr="00E34886">
        <w:t xml:space="preserve">Assessors must satisfy the assessor competency requirements that are in place at the time </w:t>
      </w:r>
      <w:r w:rsidRPr="00E34886">
        <w:t xml:space="preserve">of the assessment as set by the VET regulator.  </w:t>
      </w:r>
    </w:p>
    <w:p w:rsidR="00000000" w:rsidRPr="00E34886" w:rsidP="00E34886">
      <w:pPr>
        <w:pStyle w:val="ListBullet"/>
      </w:pPr>
      <w:r w:rsidRPr="00E34886">
        <w:t>The assessor must demonstrate both technical competency and currency.</w:t>
      </w:r>
    </w:p>
    <w:p w:rsidR="00000000" w:rsidRPr="00E34886" w:rsidP="00E34886">
      <w:pPr>
        <w:pStyle w:val="ListBullet"/>
      </w:pPr>
      <w:r w:rsidRPr="00E34886">
        <w:t>Technical competence can be demonstrated through:</w:t>
      </w:r>
    </w:p>
    <w:p w:rsidR="00000000" w:rsidRPr="00E34886" w:rsidP="00E34886">
      <w:pPr>
        <w:pStyle w:val="ListBullet2"/>
      </w:pPr>
      <w:r w:rsidRPr="00E34886">
        <w:t>relevant VET or other qualification/Statement of Attainment AND/OR</w:t>
      </w:r>
    </w:p>
    <w:p w:rsidR="00000000" w:rsidRPr="00E34886" w:rsidP="00E34886">
      <w:pPr>
        <w:pStyle w:val="ListBullet2"/>
      </w:pPr>
      <w:r w:rsidRPr="00E34886">
        <w:t xml:space="preserve">relevant workplace </w:t>
      </w:r>
      <w:r w:rsidRPr="00E34886">
        <w:t xml:space="preserve">experience </w:t>
      </w:r>
    </w:p>
    <w:p w:rsidR="00000000" w:rsidRPr="00E34886" w:rsidP="00E34886">
      <w:pPr>
        <w:pStyle w:val="ListBullet"/>
      </w:pPr>
      <w:r w:rsidRPr="00E34886">
        <w:t>Currency can be demonstrated through:</w:t>
      </w:r>
    </w:p>
    <w:p w:rsidR="00000000" w:rsidRPr="00E34886" w:rsidP="00E34886">
      <w:pPr>
        <w:pStyle w:val="ListBullet2"/>
      </w:pPr>
      <w:r w:rsidRPr="00E34886">
        <w:t>performing the competency being assessed as part of current employment OR</w:t>
      </w:r>
    </w:p>
    <w:p w:rsidR="00000000" w:rsidRPr="00E34886" w:rsidP="00E34886">
      <w:pPr>
        <w:pStyle w:val="ListBullet2"/>
      </w:pPr>
      <w:r w:rsidRPr="00E34886">
        <w:t>having consulted with an organisation providing relevant environmental monitoring, management or technology services about performing the competency being assessed within the last twelve months.</w:t>
      </w:r>
    </w:p>
    <w:p w:rsidR="00000000" w:rsidRPr="00E34886" w:rsidP="00E34886">
      <w:pPr>
        <w:pStyle w:val="AllowPageBreak"/>
      </w:pPr>
    </w:p>
    <w:p w:rsidR="00000000" w:rsidRPr="00E34886" w:rsidP="00E34886">
      <w:pPr>
        <w:pStyle w:val="Heading1"/>
      </w:pPr>
      <w:bookmarkStart w:id="15" w:name="O_920601"/>
      <w:bookmarkEnd w:id="15"/>
      <w:r w:rsidRPr="00E34886">
        <w:t>Links</w:t>
      </w:r>
    </w:p>
    <w:p w:rsidR="00000000" w:rsidRPr="00E34886" w:rsidP="006B4677">
      <w:pPr>
        <w:pStyle w:val="BodyText"/>
      </w:pPr>
      <w:r w:rsidRPr="00E34886">
        <w:t>Companion Volume implementation guides</w:t>
      </w:r>
      <w:r w:rsidRPr="00E34886">
        <w:t xml:space="preserve"> are found in VETNet - </w:t>
      </w:r>
      <w:r>
        <w:fldChar w:fldCharType="begin"/>
      </w:r>
      <w:r>
        <w:instrText xml:space="preserve"> HYPERLINK "https://vetnet.gov.au/Pages/TrainingDocs.aspx?q=5b04f318-804f-4dc0-9463-c3fb9a3fe998" </w:instrText>
      </w:r>
      <w:r>
        <w:fldChar w:fldCharType="separate"/>
      </w:r>
      <w:r w:rsidRPr="00581F4A">
        <w:rPr>
          <w:rStyle w:val="Hyperlink"/>
        </w:rPr>
        <w:t>https://vetnet.gov.au/Pages/TrainingDocs.aspx?q=5b04f318-804f-4dc0-9463-c3fb9a3fe998</w:t>
      </w:r>
      <w:r>
        <w:fldChar w:fldCharType="end"/>
      </w:r>
    </w:p>
    <w:p w:rsidR="00000000" w:rsidRPr="00E34886" w:rsidP="00E34886"/>
    <w:sectPr w:rsidSect="00E3488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8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886" w:rsidRPr="006B4677" w:rsidP="006B46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8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677" w:rsidP="00E348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B4677" w:rsidP="00E3488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B4677" w:rsidP="00E3488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886" w:rsidP="00E34886">
    <w:pPr>
      <w:pStyle w:val="Footer"/>
      <w:framePr w:wrap="around"/>
    </w:pPr>
    <w:r>
      <w:fldChar w:fldCharType="begin"/>
    </w:r>
    <w:r>
      <w:instrText xml:space="preserve"> DOCPROPERTY  Subject  \* MERGEFORMAT </w:instrText>
    </w:r>
    <w:r>
      <w:fldChar w:fldCharType="separate"/>
    </w:r>
    <w:r w:rsidR="006B4677">
      <w:t>Approved</w:t>
    </w:r>
    <w:r w:rsidR="006B4677">
      <w:fldChar w:fldCharType="end"/>
    </w:r>
    <w:r>
      <w:tab/>
      <w:t xml:space="preserve">Page </w:t>
    </w:r>
    <w:r>
      <w:fldChar w:fldCharType="begin"/>
    </w:r>
    <w:r>
      <w:instrText xml:space="preserve"> PAGE  \* Arabic  \* MERGEFORMAT </w:instrText>
    </w:r>
    <w:r>
      <w:fldChar w:fldCharType="separate"/>
    </w:r>
    <w:r w:rsidR="006B467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B4677">
      <w:rPr>
        <w:noProof/>
      </w:rPr>
      <w:t>5</w:t>
    </w:r>
    <w:r>
      <w:rPr>
        <w:noProof/>
      </w:rPr>
      <w:fldChar w:fldCharType="end"/>
    </w:r>
  </w:p>
  <w:p w:rsidR="00E34886" w:rsidP="00E34886">
    <w:pPr>
      <w:pStyle w:val="Footer"/>
      <w:framePr w:wrap="around"/>
    </w:pPr>
    <w:r>
      <w:t xml:space="preserve">© Commonwealth of Australia, </w:t>
    </w:r>
    <w:r>
      <w:fldChar w:fldCharType="begin"/>
    </w:r>
    <w:r>
      <w:instrText xml:space="preserve"> DATE  \@ "yyyy"  \* MERGEFORMAT </w:instrText>
    </w:r>
    <w:r>
      <w:fldChar w:fldCharType="separate"/>
    </w:r>
    <w:r w:rsidR="006B4677">
      <w:rPr>
        <w:noProof/>
      </w:rPr>
      <w:t>2025</w:t>
    </w:r>
    <w:r>
      <w:fldChar w:fldCharType="end"/>
    </w:r>
    <w:r>
      <w:tab/>
    </w:r>
    <w:r>
      <w:fldChar w:fldCharType="begin"/>
    </w:r>
    <w:r>
      <w:instrText xml:space="preserve"> DOCPROPERTY  Author  \* MERGEFORMAT </w:instrText>
    </w:r>
    <w:r>
      <w:fldChar w:fldCharType="separate"/>
    </w:r>
    <w:r w:rsidR="006B4677">
      <w:t>Manufacturing Industry Skills Alliance</w:t>
    </w:r>
    <w:r w:rsidR="006B4677">
      <w:fldChar w:fldCharType="end"/>
    </w:r>
  </w:p>
  <w:p w:rsidR="00E34886" w:rsidP="00E348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8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67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4886" w:rsidRPr="006B4677" w:rsidP="006B467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8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677" w:rsidRPr="002D2AF8" w:rsidP="00E34886">
    <w:pPr>
      <w:pStyle w:val="Header"/>
      <w:framePr w:wrap="around"/>
    </w:pPr>
    <w:r>
      <w:fldChar w:fldCharType="begin"/>
    </w:r>
    <w:r>
      <w:instrText xml:space="preserve"> TITLE   \* MERGEFORMAT </w:instrText>
    </w:r>
    <w:r>
      <w:fldChar w:fldCharType="separate"/>
    </w:r>
    <w:r>
      <w:t>MSS403033 Map an operational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B4677" w:rsidP="00E3488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886" w:rsidRPr="002D2AF8" w:rsidP="00E34886">
    <w:pPr>
      <w:pStyle w:val="Header"/>
      <w:framePr w:wrap="around"/>
    </w:pPr>
    <w:r>
      <w:fldChar w:fldCharType="begin"/>
    </w:r>
    <w:r>
      <w:instrText xml:space="preserve"> TITLE   \* MERGEFORMAT </w:instrText>
    </w:r>
    <w:r>
      <w:fldChar w:fldCharType="separate"/>
    </w:r>
    <w:r w:rsidR="006B4677">
      <w:t>MSS403033 Map an operational process</w:t>
    </w:r>
    <w:r w:rsidR="006B4677">
      <w:fldChar w:fldCharType="end"/>
    </w:r>
    <w:r>
      <w:tab/>
      <w:t xml:space="preserve">Date this document was generated: </w:t>
    </w:r>
    <w:r>
      <w:fldChar w:fldCharType="begin"/>
    </w:r>
    <w:r>
      <w:instrText xml:space="preserve"> CREATEDATE  \@ "d MMMM yyyy"  \* MERGEFORMAT </w:instrText>
    </w:r>
    <w:r>
      <w:fldChar w:fldCharType="separate"/>
    </w:r>
    <w:r w:rsidR="006B4677">
      <w:rPr>
        <w:noProof/>
      </w:rPr>
      <w:t>1 March 2025</w:t>
    </w:r>
    <w:r>
      <w:fldChar w:fldCharType="end"/>
    </w:r>
  </w:p>
  <w:p w:rsidR="00E34886" w:rsidP="00E348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0206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94A2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E44D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48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4886"/>
    <w:pPr>
      <w:spacing w:before="360" w:after="60"/>
      <w:outlineLvl w:val="0"/>
    </w:pPr>
    <w:rPr>
      <w:sz w:val="32"/>
    </w:rPr>
  </w:style>
  <w:style w:type="paragraph" w:styleId="Heading2">
    <w:name w:val="heading 2"/>
    <w:basedOn w:val="HeadingBase"/>
    <w:next w:val="BodyText"/>
    <w:link w:val="Heading2Char"/>
    <w:qFormat/>
    <w:rsid w:val="00E34886"/>
    <w:pPr>
      <w:keepLines/>
      <w:spacing w:before="240" w:after="120"/>
      <w:outlineLvl w:val="1"/>
    </w:pPr>
    <w:rPr>
      <w:sz w:val="28"/>
      <w:szCs w:val="40"/>
    </w:rPr>
  </w:style>
  <w:style w:type="paragraph" w:styleId="Heading3">
    <w:name w:val="heading 3"/>
    <w:basedOn w:val="HeadingBase"/>
    <w:next w:val="BodyText"/>
    <w:link w:val="Heading3Char"/>
    <w:qFormat/>
    <w:rsid w:val="00E34886"/>
    <w:pPr>
      <w:spacing w:before="180" w:after="120"/>
      <w:outlineLvl w:val="2"/>
    </w:pPr>
    <w:rPr>
      <w:spacing w:val="-10"/>
      <w:kern w:val="32"/>
    </w:rPr>
  </w:style>
  <w:style w:type="paragraph" w:styleId="Heading4">
    <w:name w:val="heading 4"/>
    <w:basedOn w:val="HeadingBase"/>
    <w:next w:val="BodyText"/>
    <w:link w:val="Heading4Char"/>
    <w:qFormat/>
    <w:rsid w:val="00E34886"/>
    <w:pPr>
      <w:spacing w:before="160" w:after="120"/>
      <w:outlineLvl w:val="3"/>
    </w:pPr>
    <w:rPr>
      <w:sz w:val="22"/>
    </w:rPr>
  </w:style>
  <w:style w:type="paragraph" w:styleId="Heading5">
    <w:name w:val="heading 5"/>
    <w:basedOn w:val="HeadingBase"/>
    <w:next w:val="Normal"/>
    <w:link w:val="Heading5Char"/>
    <w:qFormat/>
    <w:rsid w:val="00E34886"/>
    <w:pPr>
      <w:spacing w:before="80"/>
      <w:outlineLvl w:val="4"/>
    </w:pPr>
    <w:rPr>
      <w:color w:val="918585"/>
      <w:sz w:val="20"/>
    </w:rPr>
  </w:style>
  <w:style w:type="paragraph" w:styleId="Heading6">
    <w:name w:val="heading 6"/>
    <w:basedOn w:val="HeadingBase"/>
    <w:next w:val="Normal"/>
    <w:link w:val="Heading6Char"/>
    <w:qFormat/>
    <w:rsid w:val="00E34886"/>
    <w:pPr>
      <w:spacing w:before="60"/>
      <w:outlineLvl w:val="5"/>
    </w:pPr>
    <w:rPr>
      <w:color w:val="918585"/>
      <w:sz w:val="20"/>
    </w:rPr>
  </w:style>
  <w:style w:type="paragraph" w:styleId="Heading7">
    <w:name w:val="heading 7"/>
    <w:basedOn w:val="Normal"/>
    <w:next w:val="Normal"/>
    <w:link w:val="Heading7Char"/>
    <w:qFormat/>
    <w:rsid w:val="00E34886"/>
    <w:pPr>
      <w:ind w:left="720"/>
      <w:outlineLvl w:val="6"/>
    </w:pPr>
    <w:rPr>
      <w:i/>
    </w:rPr>
  </w:style>
  <w:style w:type="paragraph" w:styleId="Heading8">
    <w:name w:val="heading 8"/>
    <w:basedOn w:val="Normal"/>
    <w:next w:val="Normal"/>
    <w:link w:val="Heading8Char"/>
    <w:qFormat/>
    <w:rsid w:val="00E34886"/>
    <w:pPr>
      <w:ind w:left="720"/>
      <w:outlineLvl w:val="7"/>
    </w:pPr>
    <w:rPr>
      <w:i/>
    </w:rPr>
  </w:style>
  <w:style w:type="paragraph" w:styleId="Heading9">
    <w:name w:val="heading 9"/>
    <w:basedOn w:val="Normal"/>
    <w:next w:val="Normal"/>
    <w:link w:val="Heading9Char"/>
    <w:qFormat/>
    <w:rsid w:val="00E34886"/>
    <w:pPr>
      <w:ind w:left="720"/>
      <w:outlineLvl w:val="8"/>
    </w:pPr>
    <w:rPr>
      <w:i/>
    </w:rPr>
  </w:style>
  <w:style w:type="character" w:default="1" w:styleId="DefaultParagraphFont">
    <w:name w:val="Default Paragraph Font"/>
    <w:uiPriority w:val="1"/>
    <w:unhideWhenUsed/>
    <w:rsid w:val="00E348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4886"/>
  </w:style>
  <w:style w:type="character" w:customStyle="1" w:styleId="Heading1Char">
    <w:name w:val="Heading 1 Char"/>
    <w:basedOn w:val="DefaultParagraphFont"/>
    <w:link w:val="Heading1"/>
    <w:rsid w:val="00E34886"/>
    <w:rPr>
      <w:rFonts w:ascii="Times New Roman" w:eastAsia="Times New Roman" w:hAnsi="Times New Roman" w:cs="Times New Roman"/>
      <w:b/>
      <w:sz w:val="32"/>
      <w:szCs w:val="20"/>
      <w:lang w:eastAsia="en-US"/>
    </w:rPr>
  </w:style>
  <w:style w:type="paragraph" w:styleId="BodyText">
    <w:name w:val="Body Text"/>
    <w:basedOn w:val="Normal"/>
    <w:link w:val="BodyTextChar"/>
    <w:rsid w:val="00E348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4886"/>
    <w:rPr>
      <w:rFonts w:ascii="Times New Roman" w:eastAsia="Times New Roman" w:hAnsi="Times New Roman" w:cs="Times New Roman"/>
      <w:sz w:val="24"/>
      <w:lang w:eastAsia="en-US"/>
    </w:rPr>
  </w:style>
  <w:style w:type="paragraph" w:styleId="ListBullet">
    <w:name w:val="List Bullet"/>
    <w:basedOn w:val="List"/>
    <w:rsid w:val="00E34886"/>
    <w:pPr>
      <w:numPr>
        <w:numId w:val="12"/>
      </w:numPr>
      <w:tabs>
        <w:tab w:val="clear" w:pos="340"/>
      </w:tabs>
      <w:spacing w:before="40" w:after="40"/>
    </w:pPr>
  </w:style>
  <w:style w:type="character" w:customStyle="1" w:styleId="SpecialBold">
    <w:name w:val="Special Bold"/>
    <w:basedOn w:val="DefaultParagraphFont"/>
    <w:rsid w:val="00E34886"/>
    <w:rPr>
      <w:b/>
      <w:spacing w:val="0"/>
    </w:rPr>
  </w:style>
  <w:style w:type="paragraph" w:styleId="ListBullet2">
    <w:name w:val="List Bullet 2"/>
    <w:basedOn w:val="List2"/>
    <w:rsid w:val="00E34886"/>
    <w:pPr>
      <w:numPr>
        <w:numId w:val="13"/>
      </w:numPr>
      <w:tabs>
        <w:tab w:val="clear" w:pos="680"/>
      </w:tabs>
    </w:pPr>
  </w:style>
  <w:style w:type="paragraph" w:customStyle="1" w:styleId="SuperHeading">
    <w:name w:val="SuperHeading"/>
    <w:basedOn w:val="Normal"/>
    <w:rsid w:val="00E34886"/>
    <w:pPr>
      <w:spacing w:before="240" w:after="120"/>
      <w:outlineLvl w:val="0"/>
    </w:pPr>
    <w:rPr>
      <w:rFonts w:ascii="Times New Roman" w:hAnsi="Times New Roman"/>
      <w:b/>
      <w:sz w:val="32"/>
    </w:rPr>
  </w:style>
  <w:style w:type="paragraph" w:customStyle="1" w:styleId="AllowPageBreak">
    <w:name w:val="AllowPageBreak"/>
    <w:rsid w:val="00E348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348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48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48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48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48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48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48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4886"/>
    <w:rPr>
      <w:rFonts w:ascii="Courier New" w:eastAsia="Times New Roman" w:hAnsi="Courier New" w:cs="Times New Roman"/>
      <w:i/>
      <w:szCs w:val="20"/>
      <w:lang w:eastAsia="en-US"/>
    </w:rPr>
  </w:style>
  <w:style w:type="paragraph" w:customStyle="1" w:styleId="HeadingBase">
    <w:name w:val="Heading Base"/>
    <w:rsid w:val="00E348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4886"/>
    <w:pPr>
      <w:tabs>
        <w:tab w:val="right" w:leader="dot" w:pos="9072"/>
      </w:tabs>
      <w:ind w:left="567"/>
    </w:pPr>
    <w:rPr>
      <w:szCs w:val="22"/>
    </w:rPr>
  </w:style>
  <w:style w:type="paragraph" w:customStyle="1" w:styleId="TOCBase">
    <w:name w:val="TOC Base"/>
    <w:rsid w:val="00E348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4886"/>
    <w:pPr>
      <w:tabs>
        <w:tab w:val="right" w:leader="dot" w:pos="9072"/>
      </w:tabs>
      <w:spacing w:before="40" w:after="40"/>
      <w:ind w:left="284"/>
    </w:pPr>
    <w:rPr>
      <w:rFonts w:ascii="Times New Roman" w:hAnsi="Times New Roman"/>
    </w:rPr>
  </w:style>
  <w:style w:type="paragraph" w:styleId="TOC1">
    <w:name w:val="toc 1"/>
    <w:basedOn w:val="TOCBase"/>
    <w:next w:val="Normal"/>
    <w:rsid w:val="00E348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48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4886"/>
    <w:rPr>
      <w:rFonts w:ascii="Times New Roman" w:eastAsia="Times New Roman" w:hAnsi="Times New Roman" w:cs="Times New Roman"/>
      <w:sz w:val="16"/>
      <w:lang w:eastAsia="en-US"/>
    </w:rPr>
  </w:style>
  <w:style w:type="paragraph" w:styleId="Title">
    <w:name w:val="Title"/>
    <w:basedOn w:val="HeadingBase"/>
    <w:link w:val="TitleChar"/>
    <w:qFormat/>
    <w:rsid w:val="00E34886"/>
    <w:pPr>
      <w:spacing w:before="5040"/>
      <w:jc w:val="center"/>
    </w:pPr>
    <w:rPr>
      <w:sz w:val="48"/>
      <w:szCs w:val="72"/>
      <w:lang w:val="en-US"/>
    </w:rPr>
  </w:style>
  <w:style w:type="character" w:customStyle="1" w:styleId="TitleChar">
    <w:name w:val="Title Char"/>
    <w:basedOn w:val="DefaultParagraphFont"/>
    <w:link w:val="Title"/>
    <w:rsid w:val="00E348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4886"/>
    <w:pPr>
      <w:tabs>
        <w:tab w:val="left" w:pos="3600"/>
        <w:tab w:val="left" w:pos="3958"/>
      </w:tabs>
    </w:pPr>
  </w:style>
  <w:style w:type="paragraph" w:styleId="List">
    <w:name w:val="List"/>
    <w:basedOn w:val="BodyText"/>
    <w:next w:val="BodyText"/>
    <w:rsid w:val="00E34886"/>
    <w:pPr>
      <w:tabs>
        <w:tab w:val="left" w:pos="340"/>
      </w:tabs>
      <w:spacing w:before="60" w:after="60"/>
      <w:ind w:left="340" w:hanging="340"/>
    </w:pPr>
  </w:style>
  <w:style w:type="paragraph" w:customStyle="1" w:styleId="Note">
    <w:name w:val="Note"/>
    <w:basedOn w:val="BodyText"/>
    <w:rsid w:val="00E348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4886"/>
    <w:pPr>
      <w:framePr w:wrap="auto" w:hAnchor="text" w:y="6049"/>
    </w:pPr>
    <w:rPr>
      <w:color w:val="000000"/>
      <w:sz w:val="40"/>
    </w:rPr>
  </w:style>
  <w:style w:type="paragraph" w:customStyle="1" w:styleId="TOCTitle">
    <w:name w:val="TOCTitle"/>
    <w:basedOn w:val="Heading1"/>
    <w:rsid w:val="00E34886"/>
    <w:pPr>
      <w:spacing w:after="240"/>
      <w:jc w:val="center"/>
      <w:outlineLvl w:val="9"/>
    </w:pPr>
    <w:rPr>
      <w:caps/>
    </w:rPr>
  </w:style>
  <w:style w:type="paragraph" w:customStyle="1" w:styleId="Version">
    <w:name w:val="Version"/>
    <w:rsid w:val="00E348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4886"/>
    <w:pPr>
      <w:keepNext w:val="0"/>
      <w:tabs>
        <w:tab w:val="right" w:pos="4176"/>
      </w:tabs>
      <w:ind w:left="198" w:hanging="198"/>
    </w:pPr>
    <w:rPr>
      <w:rFonts w:ascii="Garamond" w:hAnsi="Garamond"/>
    </w:rPr>
  </w:style>
  <w:style w:type="paragraph" w:styleId="IndexHeading">
    <w:name w:val="index heading"/>
    <w:basedOn w:val="Normal"/>
    <w:next w:val="Index1"/>
    <w:semiHidden/>
    <w:rsid w:val="00E34886"/>
    <w:pPr>
      <w:spacing w:before="120" w:after="120"/>
    </w:pPr>
    <w:rPr>
      <w:rFonts w:ascii="Arial" w:hAnsi="Arial"/>
      <w:b/>
      <w:color w:val="918585"/>
      <w:sz w:val="24"/>
    </w:rPr>
  </w:style>
  <w:style w:type="paragraph" w:styleId="Header">
    <w:name w:val="header"/>
    <w:basedOn w:val="Normal"/>
    <w:link w:val="HeaderChar"/>
    <w:rsid w:val="00E348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4886"/>
    <w:rPr>
      <w:rFonts w:ascii="Times New Roman" w:eastAsia="Times New Roman" w:hAnsi="Times New Roman" w:cs="Times New Roman"/>
      <w:sz w:val="16"/>
      <w:szCs w:val="20"/>
      <w:lang w:val="en-GB" w:eastAsia="en-US"/>
    </w:rPr>
  </w:style>
  <w:style w:type="paragraph" w:customStyle="1" w:styleId="Chapter">
    <w:name w:val="Chapter"/>
    <w:basedOn w:val="Normal"/>
    <w:rsid w:val="00E34886"/>
    <w:pPr>
      <w:spacing w:before="240"/>
    </w:pPr>
    <w:rPr>
      <w:rFonts w:ascii="Times New Roman" w:hAnsi="Times New Roman"/>
      <w:smallCaps/>
      <w:spacing w:val="80"/>
      <w:sz w:val="28"/>
    </w:rPr>
  </w:style>
  <w:style w:type="paragraph" w:customStyle="1" w:styleId="InChapter">
    <w:name w:val="InChapter"/>
    <w:basedOn w:val="Heading3"/>
    <w:rsid w:val="00E34886"/>
    <w:pPr>
      <w:spacing w:after="240"/>
      <w:outlineLvl w:val="9"/>
    </w:pPr>
    <w:rPr>
      <w:noProof/>
    </w:rPr>
  </w:style>
  <w:style w:type="paragraph" w:styleId="Index2">
    <w:name w:val="index 2"/>
    <w:basedOn w:val="Normal"/>
    <w:next w:val="Normal"/>
    <w:semiHidden/>
    <w:rsid w:val="00E34886"/>
    <w:pPr>
      <w:tabs>
        <w:tab w:val="right" w:pos="4176"/>
      </w:tabs>
      <w:ind w:left="568" w:hanging="284"/>
    </w:pPr>
    <w:rPr>
      <w:rFonts w:ascii="Garamond" w:hAnsi="Garamond"/>
    </w:rPr>
  </w:style>
  <w:style w:type="paragraph" w:customStyle="1" w:styleId="Byline">
    <w:name w:val="Byline"/>
    <w:rsid w:val="00E348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4886"/>
    <w:pPr>
      <w:tabs>
        <w:tab w:val="clear" w:pos="3600"/>
        <w:tab w:val="clear" w:pos="3958"/>
      </w:tabs>
      <w:jc w:val="right"/>
    </w:pPr>
  </w:style>
  <w:style w:type="character" w:styleId="Emphasis">
    <w:name w:val="Emphasis"/>
    <w:basedOn w:val="DefaultParagraphFont"/>
    <w:qFormat/>
    <w:rsid w:val="00E34886"/>
    <w:rPr>
      <w:i/>
    </w:rPr>
  </w:style>
  <w:style w:type="paragraph" w:styleId="Caption">
    <w:name w:val="caption"/>
    <w:basedOn w:val="BodyText"/>
    <w:next w:val="Normal"/>
    <w:qFormat/>
    <w:rsid w:val="00E34886"/>
    <w:pPr>
      <w:framePr w:w="2268" w:hSpace="181" w:vSpace="181" w:wrap="around" w:vAnchor="text" w:hAnchor="page" w:x="1135" w:y="285" w:anchorLock="1"/>
    </w:pPr>
    <w:rPr>
      <w:i/>
    </w:rPr>
  </w:style>
  <w:style w:type="paragraph" w:customStyle="1" w:styleId="MiniTOCTitle">
    <w:name w:val="MiniTOCTitle"/>
    <w:basedOn w:val="Heading4"/>
    <w:rsid w:val="00E34886"/>
    <w:pPr>
      <w:spacing w:before="240"/>
      <w:outlineLvl w:val="9"/>
    </w:pPr>
    <w:rPr>
      <w:noProof/>
      <w:sz w:val="24"/>
    </w:rPr>
  </w:style>
  <w:style w:type="paragraph" w:customStyle="1" w:styleId="MiniTOCItem">
    <w:name w:val="MiniTOCItem"/>
    <w:basedOn w:val="ListBullet"/>
    <w:rsid w:val="00E34886"/>
    <w:pPr>
      <w:numPr>
        <w:numId w:val="0"/>
      </w:numPr>
      <w:tabs>
        <w:tab w:val="right" w:leader="dot" w:pos="6521"/>
      </w:tabs>
      <w:spacing w:before="0" w:after="0"/>
    </w:pPr>
  </w:style>
  <w:style w:type="paragraph" w:customStyle="1" w:styleId="TOFTitle">
    <w:name w:val="TOFTitle"/>
    <w:basedOn w:val="TOCTitle"/>
    <w:rsid w:val="00E34886"/>
  </w:style>
  <w:style w:type="paragraph" w:styleId="TableofFigures">
    <w:name w:val="table of figures"/>
    <w:basedOn w:val="Normal"/>
    <w:next w:val="Normal"/>
    <w:semiHidden/>
    <w:rsid w:val="00E34886"/>
    <w:pPr>
      <w:tabs>
        <w:tab w:val="right" w:leader="dot" w:pos="9072"/>
      </w:tabs>
      <w:ind w:left="970" w:hanging="403"/>
    </w:pPr>
    <w:rPr>
      <w:rFonts w:ascii="Times New Roman" w:hAnsi="Times New Roman"/>
      <w:b/>
    </w:rPr>
  </w:style>
  <w:style w:type="paragraph" w:styleId="ListNumber">
    <w:name w:val="List Number"/>
    <w:basedOn w:val="List"/>
    <w:rsid w:val="00E34886"/>
    <w:pPr>
      <w:numPr>
        <w:numId w:val="15"/>
      </w:numPr>
      <w:tabs>
        <w:tab w:val="clear" w:pos="340"/>
      </w:tabs>
    </w:pPr>
  </w:style>
  <w:style w:type="character" w:customStyle="1" w:styleId="WingdingSymbols">
    <w:name w:val="Wingding Symbols"/>
    <w:rsid w:val="00E34886"/>
    <w:rPr>
      <w:rFonts w:ascii="Wingdings" w:hAnsi="Wingdings"/>
    </w:rPr>
  </w:style>
  <w:style w:type="paragraph" w:customStyle="1" w:styleId="TableHeading">
    <w:name w:val="Table Heading"/>
    <w:basedOn w:val="HeadingBase"/>
    <w:rsid w:val="00E34886"/>
    <w:pPr>
      <w:keepLines/>
      <w:pBdr>
        <w:bottom w:val="single" w:sz="6" w:space="1" w:color="918585"/>
      </w:pBdr>
      <w:spacing w:before="240"/>
    </w:pPr>
  </w:style>
  <w:style w:type="character" w:customStyle="1" w:styleId="HotSpot">
    <w:name w:val="HotSpot"/>
    <w:rsid w:val="00E34886"/>
    <w:rPr>
      <w:color w:val="0033CC"/>
      <w:u w:val="none"/>
    </w:rPr>
  </w:style>
  <w:style w:type="paragraph" w:customStyle="1" w:styleId="BodyTextRight">
    <w:name w:val="Body Text Right"/>
    <w:basedOn w:val="BodyText"/>
    <w:rsid w:val="00E34886"/>
    <w:pPr>
      <w:spacing w:before="0" w:after="0"/>
      <w:jc w:val="right"/>
    </w:pPr>
  </w:style>
  <w:style w:type="paragraph" w:styleId="Index3">
    <w:name w:val="index 3"/>
    <w:basedOn w:val="ListNumber2"/>
    <w:next w:val="Normal"/>
    <w:semiHidden/>
    <w:rsid w:val="00E34886"/>
    <w:pPr>
      <w:numPr>
        <w:numId w:val="0"/>
      </w:numPr>
      <w:tabs>
        <w:tab w:val="right" w:leader="dot" w:pos="4176"/>
      </w:tabs>
    </w:pPr>
  </w:style>
  <w:style w:type="paragraph" w:styleId="ListNumber2">
    <w:name w:val="List Number 2"/>
    <w:basedOn w:val="List2"/>
    <w:rsid w:val="00E34886"/>
    <w:pPr>
      <w:numPr>
        <w:numId w:val="10"/>
      </w:numPr>
      <w:tabs>
        <w:tab w:val="clear" w:pos="1060"/>
      </w:tabs>
    </w:pPr>
  </w:style>
  <w:style w:type="paragraph" w:customStyle="1" w:styleId="MarginNote">
    <w:name w:val="Margin Note"/>
    <w:basedOn w:val="BodyText"/>
    <w:rsid w:val="00E348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48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48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4886"/>
    <w:rPr>
      <w:sz w:val="32"/>
    </w:rPr>
  </w:style>
  <w:style w:type="paragraph" w:customStyle="1" w:styleId="HeadingProcedure">
    <w:name w:val="Heading Procedure"/>
    <w:basedOn w:val="HeadingBase"/>
    <w:next w:val="Normal"/>
    <w:rsid w:val="00E34886"/>
    <w:pPr>
      <w:tabs>
        <w:tab w:val="left" w:pos="0"/>
      </w:tabs>
      <w:spacing w:before="120" w:after="60"/>
    </w:pPr>
    <w:rPr>
      <w:i/>
      <w:color w:val="918585"/>
      <w:sz w:val="22"/>
    </w:rPr>
  </w:style>
  <w:style w:type="paragraph" w:customStyle="1" w:styleId="TableBodyText">
    <w:name w:val="Table Body Text"/>
    <w:basedOn w:val="BodyText"/>
    <w:rsid w:val="00E34886"/>
    <w:pPr>
      <w:spacing w:before="60" w:after="60"/>
    </w:pPr>
  </w:style>
  <w:style w:type="paragraph" w:styleId="ListContinue">
    <w:name w:val="List Continue"/>
    <w:basedOn w:val="List"/>
    <w:rsid w:val="00E34886"/>
    <w:pPr>
      <w:ind w:firstLine="0"/>
    </w:pPr>
  </w:style>
  <w:style w:type="paragraph" w:customStyle="1" w:styleId="ListNote">
    <w:name w:val="List Note"/>
    <w:basedOn w:val="List"/>
    <w:rsid w:val="00E34886"/>
    <w:pPr>
      <w:pBdr>
        <w:top w:val="single" w:sz="6" w:space="2" w:color="918585"/>
        <w:bottom w:val="single" w:sz="6" w:space="2" w:color="918585"/>
      </w:pBdr>
      <w:tabs>
        <w:tab w:val="left" w:pos="1021"/>
      </w:tabs>
      <w:ind w:firstLine="0"/>
    </w:pPr>
  </w:style>
  <w:style w:type="paragraph" w:customStyle="1" w:styleId="Warning">
    <w:name w:val="Warning"/>
    <w:basedOn w:val="BodyText"/>
    <w:rsid w:val="00E34886"/>
    <w:pPr>
      <w:shd w:val="clear" w:color="auto" w:fill="D9D9D9"/>
      <w:tabs>
        <w:tab w:val="left" w:pos="992"/>
      </w:tabs>
      <w:ind w:left="119" w:right="119"/>
    </w:pPr>
    <w:rPr>
      <w:sz w:val="20"/>
    </w:rPr>
  </w:style>
  <w:style w:type="paragraph" w:customStyle="1" w:styleId="MarginIcons">
    <w:name w:val="Margin Icons"/>
    <w:basedOn w:val="BodyText"/>
    <w:rsid w:val="00E348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4886"/>
    <w:rPr>
      <w:rFonts w:ascii="Courier New" w:hAnsi="Courier New"/>
    </w:rPr>
  </w:style>
  <w:style w:type="paragraph" w:customStyle="1" w:styleId="NoteBullet">
    <w:name w:val="Note Bullet"/>
    <w:basedOn w:val="Note"/>
    <w:rsid w:val="00E34886"/>
    <w:pPr>
      <w:tabs>
        <w:tab w:val="clear" w:pos="680"/>
      </w:tabs>
      <w:spacing w:before="60" w:after="60"/>
    </w:pPr>
  </w:style>
  <w:style w:type="paragraph" w:customStyle="1" w:styleId="SubHeading2">
    <w:name w:val="SubHeading2"/>
    <w:basedOn w:val="HeadingBase"/>
    <w:rsid w:val="00E34886"/>
    <w:pPr>
      <w:spacing w:before="240" w:after="60"/>
    </w:pPr>
    <w:rPr>
      <w:sz w:val="20"/>
    </w:rPr>
  </w:style>
  <w:style w:type="paragraph" w:customStyle="1" w:styleId="SubHeading1">
    <w:name w:val="SubHeading1"/>
    <w:basedOn w:val="HeadingBase"/>
    <w:rsid w:val="00E34886"/>
    <w:pPr>
      <w:spacing w:before="240" w:after="60"/>
    </w:pPr>
    <w:rPr>
      <w:color w:val="918585"/>
      <w:sz w:val="22"/>
    </w:rPr>
  </w:style>
  <w:style w:type="paragraph" w:customStyle="1" w:styleId="SideHeading">
    <w:name w:val="Side Heading"/>
    <w:basedOn w:val="HeadingBase"/>
    <w:rsid w:val="00E348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4886"/>
    <w:pPr>
      <w:tabs>
        <w:tab w:val="num" w:pos="360"/>
      </w:tabs>
    </w:pPr>
  </w:style>
  <w:style w:type="paragraph" w:styleId="PlainText">
    <w:name w:val="Plain Text"/>
    <w:basedOn w:val="Normal"/>
    <w:link w:val="PlainTextChar"/>
    <w:rsid w:val="00E34886"/>
    <w:rPr>
      <w:sz w:val="20"/>
    </w:rPr>
  </w:style>
  <w:style w:type="character" w:customStyle="1" w:styleId="PlainTextChar">
    <w:name w:val="Plain Text Char"/>
    <w:basedOn w:val="DefaultParagraphFont"/>
    <w:link w:val="PlainText"/>
    <w:rsid w:val="00E34886"/>
    <w:rPr>
      <w:rFonts w:ascii="Courier New" w:eastAsia="Times New Roman" w:hAnsi="Courier New" w:cs="Times New Roman"/>
      <w:sz w:val="20"/>
      <w:szCs w:val="20"/>
      <w:lang w:eastAsia="en-US"/>
    </w:rPr>
  </w:style>
  <w:style w:type="character" w:customStyle="1" w:styleId="MenuOption">
    <w:name w:val="Menu Option"/>
    <w:basedOn w:val="DefaultParagraphFont"/>
    <w:rsid w:val="00E34886"/>
    <w:rPr>
      <w:b/>
      <w:smallCaps/>
    </w:rPr>
  </w:style>
  <w:style w:type="paragraph" w:customStyle="1" w:styleId="TableListNumber">
    <w:name w:val="Table List Number"/>
    <w:basedOn w:val="ListNumber"/>
    <w:rsid w:val="00E34886"/>
    <w:pPr>
      <w:numPr>
        <w:numId w:val="0"/>
      </w:numPr>
    </w:pPr>
  </w:style>
  <w:style w:type="paragraph" w:styleId="TOC4">
    <w:name w:val="toc 4"/>
    <w:basedOn w:val="TOCBase"/>
    <w:next w:val="Normal"/>
    <w:semiHidden/>
    <w:rsid w:val="00E34886"/>
    <w:pPr>
      <w:tabs>
        <w:tab w:val="right" w:leader="dot" w:pos="9071"/>
      </w:tabs>
      <w:ind w:left="1701"/>
    </w:pPr>
  </w:style>
  <w:style w:type="paragraph" w:customStyle="1" w:styleId="ListAlpha">
    <w:name w:val="List Alpha"/>
    <w:basedOn w:val="List"/>
    <w:rsid w:val="00E34886"/>
    <w:pPr>
      <w:numPr>
        <w:numId w:val="9"/>
      </w:numPr>
    </w:pPr>
  </w:style>
  <w:style w:type="paragraph" w:customStyle="1" w:styleId="ListAlpha2">
    <w:name w:val="List Alpha 2"/>
    <w:basedOn w:val="List2"/>
    <w:rsid w:val="00E34886"/>
    <w:pPr>
      <w:numPr>
        <w:numId w:val="8"/>
      </w:numPr>
    </w:pPr>
  </w:style>
  <w:style w:type="paragraph" w:styleId="List2">
    <w:name w:val="List 2"/>
    <w:basedOn w:val="BodyText"/>
    <w:rsid w:val="00E34886"/>
    <w:pPr>
      <w:tabs>
        <w:tab w:val="left" w:pos="680"/>
      </w:tabs>
      <w:spacing w:before="60" w:after="60"/>
      <w:ind w:left="680" w:hanging="340"/>
    </w:pPr>
  </w:style>
  <w:style w:type="paragraph" w:styleId="List3">
    <w:name w:val="List 3"/>
    <w:basedOn w:val="BodyText"/>
    <w:rsid w:val="00E34886"/>
    <w:pPr>
      <w:tabs>
        <w:tab w:val="left" w:pos="1021"/>
      </w:tabs>
      <w:spacing w:before="60" w:after="60"/>
      <w:ind w:left="1020" w:hanging="340"/>
    </w:pPr>
  </w:style>
  <w:style w:type="paragraph" w:styleId="List4">
    <w:name w:val="List 4"/>
    <w:basedOn w:val="BodyText"/>
    <w:rsid w:val="00E34886"/>
    <w:pPr>
      <w:tabs>
        <w:tab w:val="left" w:pos="1361"/>
      </w:tabs>
      <w:spacing w:before="60" w:after="60"/>
      <w:ind w:left="1361" w:hanging="340"/>
    </w:pPr>
  </w:style>
  <w:style w:type="paragraph" w:styleId="List5">
    <w:name w:val="List 5"/>
    <w:basedOn w:val="BodyText"/>
    <w:rsid w:val="00E34886"/>
    <w:pPr>
      <w:tabs>
        <w:tab w:val="left" w:pos="1701"/>
      </w:tabs>
      <w:spacing w:before="60" w:after="60"/>
      <w:ind w:left="1701" w:hanging="340"/>
    </w:pPr>
  </w:style>
  <w:style w:type="paragraph" w:styleId="ListBullet3">
    <w:name w:val="List Bullet 3"/>
    <w:basedOn w:val="List3"/>
    <w:rsid w:val="00E34886"/>
    <w:pPr>
      <w:numPr>
        <w:numId w:val="14"/>
      </w:numPr>
      <w:tabs>
        <w:tab w:val="clear" w:pos="1021"/>
      </w:tabs>
      <w:ind w:left="1037" w:hanging="357"/>
    </w:pPr>
  </w:style>
  <w:style w:type="paragraph" w:styleId="ListBullet4">
    <w:name w:val="List Bullet 4"/>
    <w:basedOn w:val="List4"/>
    <w:rsid w:val="00E34886"/>
    <w:pPr>
      <w:numPr>
        <w:numId w:val="3"/>
      </w:numPr>
      <w:tabs>
        <w:tab w:val="clear" w:pos="1361"/>
      </w:tabs>
    </w:pPr>
  </w:style>
  <w:style w:type="paragraph" w:styleId="ListBullet5">
    <w:name w:val="List Bullet 5"/>
    <w:basedOn w:val="List5"/>
    <w:rsid w:val="00E34886"/>
    <w:pPr>
      <w:numPr>
        <w:numId w:val="4"/>
      </w:numPr>
    </w:pPr>
  </w:style>
  <w:style w:type="paragraph" w:styleId="ListContinue2">
    <w:name w:val="List Continue 2"/>
    <w:basedOn w:val="List2"/>
    <w:rsid w:val="00E34886"/>
    <w:pPr>
      <w:ind w:firstLine="0"/>
    </w:pPr>
  </w:style>
  <w:style w:type="paragraph" w:styleId="ListContinue3">
    <w:name w:val="List Continue 3"/>
    <w:basedOn w:val="List3"/>
    <w:rsid w:val="00E34886"/>
    <w:pPr>
      <w:ind w:left="1021" w:firstLine="0"/>
    </w:pPr>
  </w:style>
  <w:style w:type="paragraph" w:styleId="ListContinue4">
    <w:name w:val="List Continue 4"/>
    <w:basedOn w:val="List4"/>
    <w:rsid w:val="00E34886"/>
    <w:pPr>
      <w:ind w:firstLine="0"/>
    </w:pPr>
  </w:style>
  <w:style w:type="paragraph" w:styleId="ListContinue5">
    <w:name w:val="List Continue 5"/>
    <w:basedOn w:val="List5"/>
    <w:rsid w:val="00E34886"/>
    <w:pPr>
      <w:ind w:firstLine="0"/>
    </w:pPr>
  </w:style>
  <w:style w:type="paragraph" w:styleId="ListNumber3">
    <w:name w:val="List Number 3"/>
    <w:basedOn w:val="List3"/>
    <w:rsid w:val="00E34886"/>
    <w:pPr>
      <w:numPr>
        <w:numId w:val="5"/>
      </w:numPr>
    </w:pPr>
  </w:style>
  <w:style w:type="paragraph" w:styleId="ListNumber4">
    <w:name w:val="List Number 4"/>
    <w:basedOn w:val="List4"/>
    <w:rsid w:val="00E34886"/>
    <w:pPr>
      <w:numPr>
        <w:numId w:val="6"/>
      </w:numPr>
    </w:pPr>
  </w:style>
  <w:style w:type="paragraph" w:styleId="ListNumber5">
    <w:name w:val="List Number 5"/>
    <w:basedOn w:val="List5"/>
    <w:rsid w:val="00E34886"/>
    <w:pPr>
      <w:numPr>
        <w:numId w:val="7"/>
      </w:numPr>
    </w:pPr>
  </w:style>
  <w:style w:type="paragraph" w:styleId="BlockText">
    <w:name w:val="Block Text"/>
    <w:basedOn w:val="Normal"/>
    <w:rsid w:val="00E34886"/>
    <w:pPr>
      <w:spacing w:after="120"/>
      <w:ind w:left="1440" w:right="1440"/>
    </w:pPr>
  </w:style>
  <w:style w:type="character" w:customStyle="1" w:styleId="Subscript">
    <w:name w:val="Subscript"/>
    <w:basedOn w:val="DefaultParagraphFont"/>
    <w:rsid w:val="00E34886"/>
    <w:rPr>
      <w:sz w:val="16"/>
      <w:vertAlign w:val="subscript"/>
    </w:rPr>
  </w:style>
  <w:style w:type="character" w:customStyle="1" w:styleId="Superscript">
    <w:name w:val="Superscript"/>
    <w:basedOn w:val="DefaultParagraphFont"/>
    <w:rsid w:val="00E34886"/>
    <w:rPr>
      <w:sz w:val="16"/>
      <w:vertAlign w:val="superscript"/>
    </w:rPr>
  </w:style>
  <w:style w:type="character" w:customStyle="1" w:styleId="Symbols">
    <w:name w:val="Symbols"/>
    <w:basedOn w:val="DefaultParagraphFont"/>
    <w:rsid w:val="00E34886"/>
    <w:rPr>
      <w:rFonts w:ascii="Symbol" w:hAnsi="Symbol"/>
    </w:rPr>
  </w:style>
  <w:style w:type="character" w:customStyle="1" w:styleId="MenuOptions">
    <w:name w:val="Menu Options"/>
    <w:basedOn w:val="DefaultParagraphFont"/>
    <w:rsid w:val="00E34886"/>
    <w:rPr>
      <w:rFonts w:ascii="Arial Narrow" w:hAnsi="Arial Narrow"/>
      <w:smallCaps/>
    </w:rPr>
  </w:style>
  <w:style w:type="character" w:customStyle="1" w:styleId="Buttons">
    <w:name w:val="Buttons"/>
    <w:basedOn w:val="DefaultParagraphFont"/>
    <w:rsid w:val="00E34886"/>
    <w:rPr>
      <w:b/>
    </w:rPr>
  </w:style>
  <w:style w:type="character" w:customStyle="1" w:styleId="Underlined">
    <w:name w:val="Underlined"/>
    <w:basedOn w:val="DefaultParagraphFont"/>
    <w:rsid w:val="00E34886"/>
    <w:rPr>
      <w:u w:val="single"/>
    </w:rPr>
  </w:style>
  <w:style w:type="paragraph" w:customStyle="1" w:styleId="TableBodyTextRight">
    <w:name w:val="Table Body Text Right"/>
    <w:basedOn w:val="TableBodyText"/>
    <w:rsid w:val="00E34886"/>
    <w:pPr>
      <w:widowControl w:val="0"/>
      <w:autoSpaceDE w:val="0"/>
      <w:autoSpaceDN w:val="0"/>
      <w:adjustRightInd w:val="0"/>
      <w:jc w:val="right"/>
    </w:pPr>
    <w:rPr>
      <w:rFonts w:cs="Arial"/>
      <w:szCs w:val="18"/>
    </w:rPr>
  </w:style>
  <w:style w:type="paragraph" w:customStyle="1" w:styleId="CopyrightText">
    <w:name w:val="Copyright Text"/>
    <w:basedOn w:val="BodyText"/>
    <w:rsid w:val="00E34886"/>
    <w:rPr>
      <w:sz w:val="18"/>
    </w:rPr>
  </w:style>
  <w:style w:type="paragraph" w:customStyle="1" w:styleId="BodySmallRight">
    <w:name w:val="Body Small Right"/>
    <w:basedOn w:val="BodyTextRight"/>
    <w:rsid w:val="00E34886"/>
    <w:rPr>
      <w:sz w:val="18"/>
      <w:szCs w:val="18"/>
    </w:rPr>
  </w:style>
  <w:style w:type="paragraph" w:customStyle="1" w:styleId="MarginEdition">
    <w:name w:val="Margin Edition"/>
    <w:basedOn w:val="MarginNote"/>
    <w:rsid w:val="00E34886"/>
    <w:pPr>
      <w:spacing w:before="0" w:after="0"/>
    </w:pPr>
    <w:rPr>
      <w:rFonts w:ascii="Times New Roman" w:hAnsi="Times New Roman"/>
      <w:color w:val="999999"/>
    </w:rPr>
  </w:style>
  <w:style w:type="paragraph" w:customStyle="1" w:styleId="Spacer">
    <w:name w:val="Spacer"/>
    <w:basedOn w:val="Normal"/>
    <w:rsid w:val="00E34886"/>
    <w:rPr>
      <w:sz w:val="2"/>
      <w:szCs w:val="2"/>
    </w:rPr>
  </w:style>
  <w:style w:type="character" w:customStyle="1" w:styleId="Small">
    <w:name w:val="Small"/>
    <w:basedOn w:val="DefaultParagraphFont"/>
    <w:rsid w:val="00E34886"/>
    <w:rPr>
      <w:sz w:val="16"/>
    </w:rPr>
  </w:style>
  <w:style w:type="paragraph" w:customStyle="1" w:styleId="WideTable">
    <w:name w:val="Wide Table"/>
    <w:basedOn w:val="Normal"/>
    <w:rsid w:val="00E34886"/>
    <w:pPr>
      <w:ind w:left="-1418"/>
    </w:pPr>
    <w:rPr>
      <w:sz w:val="2"/>
      <w:szCs w:val="2"/>
    </w:rPr>
  </w:style>
  <w:style w:type="character" w:styleId="PageNumber">
    <w:name w:val="page number"/>
    <w:basedOn w:val="DefaultParagraphFont"/>
    <w:rsid w:val="00E34886"/>
  </w:style>
  <w:style w:type="paragraph" w:styleId="Quote">
    <w:name w:val="Quote"/>
    <w:basedOn w:val="Heading1"/>
    <w:link w:val="QuoteChar"/>
    <w:qFormat/>
    <w:rsid w:val="00E34886"/>
    <w:rPr>
      <w:b w:val="0"/>
      <w:sz w:val="72"/>
      <w:szCs w:val="72"/>
      <w:lang w:val="en-NZ"/>
    </w:rPr>
  </w:style>
  <w:style w:type="character" w:customStyle="1" w:styleId="QuoteChar">
    <w:name w:val="Quote Char"/>
    <w:basedOn w:val="DefaultParagraphFont"/>
    <w:link w:val="Quote"/>
    <w:rsid w:val="00E348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4886"/>
    <w:pPr>
      <w:pageBreakBefore/>
    </w:pPr>
  </w:style>
  <w:style w:type="paragraph" w:customStyle="1" w:styleId="Border">
    <w:name w:val="Border"/>
    <w:basedOn w:val="Normal"/>
    <w:qFormat/>
    <w:rsid w:val="00E348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4886"/>
    <w:rPr>
      <w:b/>
      <w:bCs/>
      <w:i/>
      <w:iCs/>
      <w:color w:val="auto"/>
    </w:rPr>
  </w:style>
  <w:style w:type="paragraph" w:styleId="IntenseQuote">
    <w:name w:val="Intense Quote"/>
    <w:basedOn w:val="Normal"/>
    <w:next w:val="Normal"/>
    <w:link w:val="IntenseQuoteChar"/>
    <w:uiPriority w:val="30"/>
    <w:qFormat/>
    <w:rsid w:val="00E348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48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4886"/>
    <w:rPr>
      <w:smallCaps/>
      <w:color w:val="auto"/>
      <w:u w:val="single"/>
    </w:rPr>
  </w:style>
  <w:style w:type="character" w:styleId="IntenseReference">
    <w:name w:val="Intense Reference"/>
    <w:basedOn w:val="DefaultParagraphFont"/>
    <w:uiPriority w:val="32"/>
    <w:qFormat/>
    <w:rsid w:val="00E34886"/>
    <w:rPr>
      <w:b/>
      <w:bCs/>
      <w:smallCaps/>
      <w:color w:val="auto"/>
      <w:spacing w:val="5"/>
      <w:u w:val="single"/>
    </w:rPr>
  </w:style>
  <w:style w:type="paragraph" w:customStyle="1" w:styleId="2ColumnHeading">
    <w:name w:val="2Column Heading"/>
    <w:basedOn w:val="BodyText"/>
    <w:qFormat/>
    <w:rsid w:val="00E34886"/>
    <w:pPr>
      <w:spacing w:after="60"/>
      <w:ind w:left="-2268"/>
    </w:pPr>
    <w:rPr>
      <w:b/>
    </w:rPr>
  </w:style>
  <w:style w:type="paragraph" w:customStyle="1" w:styleId="Heading1TOC">
    <w:name w:val="Heading1 TOC"/>
    <w:basedOn w:val="Normal"/>
    <w:qFormat/>
    <w:rsid w:val="00E34886"/>
    <w:pPr>
      <w:spacing w:before="240" w:after="120"/>
    </w:pPr>
    <w:rPr>
      <w:rFonts w:ascii="Times New Roman" w:hAnsi="Times New Roman"/>
      <w:b/>
      <w:sz w:val="32"/>
    </w:rPr>
  </w:style>
  <w:style w:type="paragraph" w:customStyle="1" w:styleId="Heading2TOC">
    <w:name w:val="Heading2 TOC"/>
    <w:basedOn w:val="Normal"/>
    <w:qFormat/>
    <w:rsid w:val="00E34886"/>
    <w:pPr>
      <w:spacing w:before="240" w:after="60"/>
    </w:pPr>
    <w:rPr>
      <w:rFonts w:ascii="Times New Roman" w:hAnsi="Times New Roman"/>
      <w:b/>
      <w:sz w:val="28"/>
    </w:rPr>
  </w:style>
  <w:style w:type="character" w:customStyle="1" w:styleId="Underline">
    <w:name w:val="Underline"/>
    <w:basedOn w:val="DefaultParagraphFont"/>
    <w:qFormat/>
    <w:rsid w:val="00E34886"/>
    <w:rPr>
      <w:u w:val="single"/>
    </w:rPr>
  </w:style>
  <w:style w:type="character" w:customStyle="1" w:styleId="BoldandItalics">
    <w:name w:val="Bold and Italics"/>
    <w:qFormat/>
    <w:rsid w:val="00E34886"/>
    <w:rPr>
      <w:b/>
      <w:i/>
      <w:u w:val="none"/>
    </w:rPr>
  </w:style>
  <w:style w:type="paragraph" w:styleId="BalloonText">
    <w:name w:val="Balloon Text"/>
    <w:basedOn w:val="Normal"/>
    <w:link w:val="BalloonTextChar"/>
    <w:rsid w:val="00E34886"/>
    <w:rPr>
      <w:rFonts w:ascii="Tahoma" w:hAnsi="Tahoma" w:cs="Tahoma"/>
      <w:sz w:val="16"/>
      <w:szCs w:val="16"/>
    </w:rPr>
  </w:style>
  <w:style w:type="character" w:customStyle="1" w:styleId="BalloonTextChar">
    <w:name w:val="Balloon Text Char"/>
    <w:basedOn w:val="DefaultParagraphFont"/>
    <w:link w:val="BalloonText"/>
    <w:rsid w:val="00E348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48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48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4886"/>
    <w:rPr>
      <w:b/>
      <w:color w:val="660033"/>
      <w:spacing w:val="0"/>
    </w:rPr>
  </w:style>
  <w:style w:type="paragraph" w:customStyle="1" w:styleId="Nameditemlist">
    <w:name w:val="Named item list"/>
    <w:basedOn w:val="BodyText"/>
    <w:qFormat/>
    <w:rsid w:val="00E34886"/>
    <w:pPr>
      <w:tabs>
        <w:tab w:val="left" w:pos="2835"/>
      </w:tabs>
      <w:ind w:left="2835" w:hanging="2835"/>
    </w:pPr>
  </w:style>
  <w:style w:type="paragraph" w:customStyle="1" w:styleId="BodyTextnopadding">
    <w:name w:val="Body Text no padding"/>
    <w:basedOn w:val="BodyText"/>
    <w:qFormat/>
    <w:rsid w:val="00E34886"/>
    <w:pPr>
      <w:spacing w:before="0" w:after="0"/>
    </w:pPr>
  </w:style>
  <w:style w:type="paragraph" w:customStyle="1" w:styleId="BodyTextBold">
    <w:name w:val="Body Text Bold"/>
    <w:basedOn w:val="BodyText"/>
    <w:qFormat/>
    <w:rsid w:val="00E34886"/>
    <w:rPr>
      <w:b/>
    </w:rPr>
  </w:style>
  <w:style w:type="character" w:styleId="Hyperlink">
    <w:name w:val="Hyperlink"/>
    <w:basedOn w:val="DefaultParagraphFont"/>
    <w:uiPriority w:val="99"/>
    <w:unhideWhenUsed/>
    <w:rsid w:val="006B467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1211</Words>
  <Characters>7514</Characters>
  <Application>Microsoft Office Word</Application>
  <DocSecurity>0</DocSecurity>
  <Lines>278</Lines>
  <Paragraphs>178</Paragraphs>
  <ScaleCrop>false</ScaleCrop>
  <Company>Author-it Software Corporation Ltd.</Company>
  <LinksUpToDate>false</LinksUpToDate>
  <CharactersWithSpaces>8547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MSS403033 Map an operational process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2025-03-01T11:31:00Z</dcterms:created>
  <dcterms:modified xsi:type="dcterms:W3CDTF">2025-03-01T11:31:00Z</dcterms:modified>
</cp:coreProperties>
</file>