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A56" w:rsidP="00D47A56">
      <w:pPr>
        <w:pStyle w:val="Title"/>
      </w:pPr>
      <w:r>
        <w:fldChar w:fldCharType="begin"/>
      </w:r>
      <w:r>
        <w:instrText xml:space="preserve"> TITLE   \* MERGEFORMAT </w:instrText>
      </w:r>
      <w:r>
        <w:fldChar w:fldCharType="separate"/>
      </w:r>
      <w:r>
        <w:t>MSS403032 Analyse manual handling processes</w:t>
      </w:r>
      <w:r>
        <w:fldChar w:fldCharType="end"/>
      </w:r>
    </w:p>
    <w:p w:rsidR="00D47A56" w:rsidP="00D47A56">
      <w:pPr>
        <w:pStyle w:val="Version"/>
        <w:sectPr w:rsidSect="00C856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6AB" w:rsidP="00C856AB">
      <w:pPr>
        <w:pStyle w:val="SuperHeading"/>
      </w:pPr>
      <w:r w:rsidRPr="00C856AB">
        <w:t>MSS403032 Analyse manual handling processes</w:t>
      </w:r>
    </w:p>
    <w:p w:rsidR="00000000" w:rsidRPr="00C856AB" w:rsidP="00C856AB">
      <w:pPr>
        <w:pStyle w:val="Heading1"/>
      </w:pPr>
      <w:bookmarkStart w:id="1" w:name="O_920587"/>
      <w:bookmarkEnd w:id="1"/>
      <w:r w:rsidRPr="00C856AB">
        <w:t>Modification History</w:t>
      </w:r>
    </w:p>
    <w:p w:rsidR="00000000" w:rsidRPr="00C856AB" w:rsidP="00D47A56">
      <w:pPr>
        <w:pStyle w:val="BodyText"/>
      </w:pPr>
      <w:r w:rsidRPr="00C856AB">
        <w:t>Release 1. Supersedes and is equivalent to MSS403032A Analyse manual handling processes</w:t>
      </w:r>
    </w:p>
    <w:p w:rsidR="00000000" w:rsidRPr="00C856AB" w:rsidP="00C856AB">
      <w:pPr>
        <w:pStyle w:val="Heading1"/>
      </w:pPr>
      <w:bookmarkStart w:id="2" w:name="O_920595"/>
      <w:bookmarkEnd w:id="2"/>
      <w:r w:rsidRPr="00C856AB">
        <w:t>Application</w:t>
      </w:r>
    </w:p>
    <w:p w:rsidR="00000000" w:rsidRPr="00C856AB" w:rsidP="00D47A56">
      <w:pPr>
        <w:pStyle w:val="BodyText"/>
      </w:pPr>
      <w:r w:rsidRPr="00C856AB">
        <w:t>This unit of competency covers the skills and knowledge required to analyse manual handling in terms of its efficiency</w:t>
      </w:r>
      <w:r w:rsidRPr="00C856AB">
        <w:t xml:space="preserve"> and safety. </w:t>
      </w:r>
    </w:p>
    <w:p w:rsidR="00000000" w:rsidRPr="00C856AB" w:rsidP="00D47A56">
      <w:pPr>
        <w:pStyle w:val="BodyText"/>
      </w:pPr>
      <w:r w:rsidRPr="00C856AB">
        <w:t xml:space="preserve">This unit applies to an individual who is required to examine the manual handling component of a job and improve it in terms of safety, effort required and efficiency. This may be conducted for a job performed by others or it may be for the </w:t>
      </w:r>
      <w:r w:rsidRPr="00C856AB">
        <w:t>person</w:t>
      </w:r>
      <w:r>
        <w:t>’</w:t>
      </w:r>
      <w:r w:rsidRPr="00C856AB">
        <w:t>s own job.</w:t>
      </w:r>
    </w:p>
    <w:p w:rsidR="00000000" w:rsidRPr="00C856AB" w:rsidP="00D47A56">
      <w:pPr>
        <w:pStyle w:val="BodyText"/>
      </w:pPr>
      <w:r w:rsidRPr="00C856AB">
        <w:t xml:space="preserve">This unit primarily requires the application of skills associated with problem solving, initiative and enterprise to identify safe and efficient manual handling, and planning and organising to ensure processes are implemented. This unit </w:t>
      </w:r>
      <w:r w:rsidRPr="00C856AB">
        <w:t>also requires communication with, and involvement of, others to ensure they understand the approach and to facilitate training.</w:t>
      </w:r>
    </w:p>
    <w:p w:rsidR="00000000" w:rsidRPr="00C856AB" w:rsidP="00D47A56">
      <w:pPr>
        <w:pStyle w:val="BodyText"/>
      </w:pPr>
      <w:r w:rsidRPr="00C856AB">
        <w:t>No licensing, legislative or certification requirements apply to this unit at the time of publication.</w:t>
      </w:r>
    </w:p>
    <w:p w:rsidR="00000000" w:rsidRPr="00C856AB" w:rsidP="00C856AB">
      <w:pPr>
        <w:pStyle w:val="Heading1"/>
      </w:pPr>
      <w:bookmarkStart w:id="3" w:name="O_920594"/>
      <w:bookmarkEnd w:id="3"/>
      <w:r w:rsidRPr="00C856AB">
        <w:t>Pre-req</w:t>
      </w:r>
      <w:r w:rsidRPr="00C856AB">
        <w:t>uisite Unit</w:t>
      </w:r>
    </w:p>
    <w:p w:rsidR="00000000" w:rsidRPr="00C856AB" w:rsidP="00D47A56">
      <w:pPr>
        <w:pStyle w:val="BodyText"/>
      </w:pPr>
      <w:r w:rsidRPr="00C856AB">
        <w:t>Nil</w:t>
      </w:r>
    </w:p>
    <w:p w:rsidR="00000000" w:rsidRPr="00C856AB" w:rsidP="00C856AB">
      <w:pPr>
        <w:pStyle w:val="Heading1"/>
      </w:pPr>
      <w:bookmarkStart w:id="4" w:name="O_920593"/>
      <w:bookmarkEnd w:id="4"/>
      <w:r w:rsidRPr="00C856AB">
        <w:t>Competency Field</w:t>
      </w:r>
    </w:p>
    <w:p w:rsidR="00000000" w:rsidRPr="00C856AB" w:rsidP="00D47A56">
      <w:pPr>
        <w:pStyle w:val="BodyText"/>
      </w:pPr>
      <w:r w:rsidRPr="00C856AB">
        <w:t>Competitive systems and practices</w:t>
      </w:r>
    </w:p>
    <w:p w:rsidR="00000000" w:rsidRPr="00C856AB" w:rsidP="00C856AB">
      <w:pPr>
        <w:pStyle w:val="Heading1"/>
      </w:pPr>
      <w:bookmarkStart w:id="5" w:name="O_920592"/>
      <w:bookmarkEnd w:id="5"/>
      <w:r w:rsidRPr="00C856AB">
        <w:t>Unit Sector</w:t>
      </w:r>
    </w:p>
    <w:p w:rsidR="00000000" w:rsidRPr="00C856AB" w:rsidP="00D47A56">
      <w:pPr>
        <w:pStyle w:val="BodyText"/>
      </w:pPr>
      <w:r w:rsidRPr="00C856AB">
        <w:t>Not applicable</w:t>
      </w:r>
    </w:p>
    <w:p w:rsidR="00000000" w:rsidRPr="00C856AB" w:rsidP="00C856AB">
      <w:pPr>
        <w:pStyle w:val="Heading1"/>
      </w:pPr>
      <w:bookmarkStart w:id="6" w:name="O_920591"/>
      <w:bookmarkEnd w:id="6"/>
      <w:r w:rsidRPr="00C856A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856A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 xml:space="preserve">Performance criteria describe the </w:t>
            </w:r>
            <w:r w:rsidRPr="00C856AB">
              <w:t>performance needed to demonstrate achievement of the element.</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56AB" w:rsidP="00C856AB">
            <w:pPr>
              <w:pStyle w:val="BodyText"/>
            </w:pPr>
            <w:r w:rsidRPr="00C856AB">
              <w:t>1</w:t>
            </w:r>
          </w:p>
        </w:tc>
        <w:tc>
          <w:tcPr>
            <w:tcW w:w="1962" w:type="dxa"/>
            <w:vMerge w:val="restart"/>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rPr>
                <w:rStyle w:val="SpecialBold"/>
              </w:rPr>
              <w:t xml:space="preserve">Assess manual </w:t>
            </w:r>
            <w:r w:rsidRPr="00C856AB">
              <w:rPr>
                <w:rStyle w:val="SpecialBold"/>
              </w:rPr>
              <w:t>handling risks</w:t>
            </w: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1.1</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Identify manual handling hazards in work area.</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1.2</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Assess risks arising from manual handling hazards.</w:t>
            </w:r>
          </w:p>
        </w:tc>
      </w:tr>
      <w:tr w:rsidTr="00C856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56AB">
            <w:pPr>
              <w:pStyle w:val="BodyText"/>
              <w:rPr>
                <w:lang w:val="en-NZ"/>
              </w:rPr>
            </w:pP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56AB" w:rsidP="00C856AB">
            <w:pPr>
              <w:pStyle w:val="BodyText"/>
            </w:pPr>
            <w:r w:rsidRPr="00C856AB">
              <w:t>2</w:t>
            </w:r>
          </w:p>
        </w:tc>
        <w:tc>
          <w:tcPr>
            <w:tcW w:w="1962" w:type="dxa"/>
            <w:vMerge w:val="restart"/>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rPr>
                <w:rStyle w:val="SpecialBold"/>
              </w:rPr>
              <w:t>Analyse physical effort requirements of job</w:t>
            </w: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2.1</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Determine basic manual handling requirements of job.</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2.2</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Analyse requirements in terms of components, such as lift, move, place and hold.</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2.3</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Analyse items to be handled in terms such as weight, size, shape or other hazards.</w:t>
            </w:r>
          </w:p>
        </w:tc>
      </w:tr>
      <w:tr w:rsidTr="00C856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56AB">
            <w:pPr>
              <w:pStyle w:val="BodyText"/>
              <w:rPr>
                <w:lang w:val="en-NZ"/>
              </w:rPr>
            </w:pP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56AB" w:rsidP="00C856AB">
            <w:pPr>
              <w:pStyle w:val="BodyText"/>
            </w:pPr>
            <w:r w:rsidRPr="00C856AB">
              <w:t>3</w:t>
            </w:r>
          </w:p>
        </w:tc>
        <w:tc>
          <w:tcPr>
            <w:tcW w:w="1962" w:type="dxa"/>
            <w:vMerge w:val="restart"/>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rPr>
                <w:rStyle w:val="SpecialBold"/>
              </w:rPr>
              <w:t>Determine time/effort components of physical effort</w:t>
            </w: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3.1</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Break required movement pattern down into movement components.</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3.2</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Determine time and effort requirements for movements.</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3.3</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Develop alternative movement patterns.</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3.4</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Determine time and effort requirements for alternative movements.</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3.5</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Determine handling aids required to assist movement.</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3.6</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Determine preferred movement pattern.</w:t>
            </w:r>
          </w:p>
        </w:tc>
      </w:tr>
      <w:tr w:rsidTr="00C856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56AB">
            <w:pPr>
              <w:pStyle w:val="BodyText"/>
              <w:rPr>
                <w:lang w:val="en-NZ"/>
              </w:rPr>
            </w:pP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56AB" w:rsidP="00C856AB">
            <w:pPr>
              <w:pStyle w:val="BodyText"/>
            </w:pPr>
            <w:r w:rsidRPr="00C856AB">
              <w:t>4</w:t>
            </w:r>
          </w:p>
        </w:tc>
        <w:tc>
          <w:tcPr>
            <w:tcW w:w="1962" w:type="dxa"/>
            <w:vMerge w:val="restart"/>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rPr>
                <w:rStyle w:val="SpecialBold"/>
              </w:rPr>
              <w:t>Analyse the ergonomics of physical effort</w:t>
            </w: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4.1</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Analyse the ergonomics of the preferred movement pattern.</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4.2</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Develop substitute movements for any movement which is not ergonomically sound.</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4.3</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Determine handling aids required to improve ergonomics of required movements.</w:t>
            </w:r>
          </w:p>
        </w:tc>
      </w:tr>
      <w:tr w:rsidTr="00C856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56AB">
            <w:pPr>
              <w:pStyle w:val="BodyText"/>
              <w:rPr>
                <w:lang w:val="en-NZ"/>
              </w:rPr>
            </w:pP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56AB" w:rsidP="00C856AB">
            <w:pPr>
              <w:pStyle w:val="BodyText"/>
            </w:pPr>
            <w:r w:rsidRPr="00C856AB">
              <w:t>5</w:t>
            </w:r>
          </w:p>
        </w:tc>
        <w:tc>
          <w:tcPr>
            <w:tcW w:w="1962" w:type="dxa"/>
            <w:vMerge w:val="restart"/>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rPr>
                <w:rStyle w:val="SpecialBold"/>
              </w:rPr>
              <w:t>Optimise application of physical effort</w:t>
            </w: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5.1</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Select movement patterns which are ergonomically sound and time and effort efficient.</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5.2</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Ensure all relevant people are trained to use these methods.</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5.3</w:t>
            </w:r>
          </w:p>
        </w:tc>
        <w:tc>
          <w:tcPr>
            <w:tcW w:w="561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Ensure procedures and practices reflect the optimum methods.</w:t>
            </w:r>
          </w:p>
        </w:tc>
      </w:tr>
      <w:tr w:rsidTr="00C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5.4</w:t>
            </w:r>
          </w:p>
        </w:tc>
        <w:tc>
          <w:tcPr>
            <w:tcW w:w="5610" w:type="dxa"/>
            <w:tcBorders>
              <w:top w:val="nil"/>
              <w:left w:val="nil"/>
              <w:bottom w:val="nil"/>
              <w:right w:val="nil"/>
            </w:tcBorders>
            <w:tcMar>
              <w:top w:w="0" w:type="dxa"/>
              <w:left w:w="62" w:type="dxa"/>
              <w:bottom w:w="0" w:type="dxa"/>
              <w:right w:w="62" w:type="dxa"/>
            </w:tcMar>
          </w:tcPr>
          <w:p w:rsidR="00000000" w:rsidRPr="00C856AB" w:rsidP="00C856AB">
            <w:pPr>
              <w:pStyle w:val="BodyText"/>
            </w:pPr>
            <w:r w:rsidRPr="00C856AB">
              <w:t>Communicate with team members and involve them in development of alternatives to ensure awareness and facilitate learning.</w:t>
            </w:r>
          </w:p>
        </w:tc>
      </w:tr>
    </w:tbl>
    <w:p w:rsidR="00000000" w:rsidRPr="00C856AB" w:rsidP="00C856AB">
      <w:pPr>
        <w:pStyle w:val="BodyText"/>
      </w:pPr>
    </w:p>
    <w:p w:rsidR="00000000" w:rsidRPr="00C856AB" w:rsidP="00C856AB">
      <w:pPr>
        <w:pStyle w:val="AllowPageBreak"/>
      </w:pPr>
    </w:p>
    <w:p w:rsidR="00000000" w:rsidRPr="00C856AB" w:rsidP="00C856AB">
      <w:pPr>
        <w:pStyle w:val="Heading1"/>
      </w:pPr>
      <w:bookmarkStart w:id="7" w:name="O_920590"/>
      <w:bookmarkEnd w:id="7"/>
      <w:r w:rsidRPr="00C856AB">
        <w:t>Foundation Skills</w:t>
      </w:r>
    </w:p>
    <w:p w:rsidR="00000000" w:rsidRPr="00C856AB" w:rsidP="00D47A56">
      <w:pPr>
        <w:pStyle w:val="BodyText"/>
      </w:pPr>
      <w:r w:rsidRPr="00C856AB">
        <w:t>This section describes those required skills (language, literacy and numeracy) that are essential to performance.</w:t>
      </w:r>
    </w:p>
    <w:p w:rsidR="00000000" w:rsidRPr="00C856AB" w:rsidP="00D47A56">
      <w:pPr>
        <w:pStyle w:val="BodyText"/>
      </w:pPr>
      <w:r w:rsidRPr="00C856AB">
        <w:t>Foundation skills essential to performance are explicit in the performance criteria of this unit of competency.</w:t>
      </w:r>
    </w:p>
    <w:p w:rsidR="00000000" w:rsidRPr="00C856AB" w:rsidP="00C856AB">
      <w:pPr>
        <w:pStyle w:val="Heading1"/>
      </w:pPr>
      <w:bookmarkStart w:id="8" w:name="O_920589"/>
      <w:bookmarkEnd w:id="8"/>
      <w:r w:rsidRPr="00C856AB">
        <w:t>Range of Con</w:t>
      </w:r>
      <w:r w:rsidRPr="00C856AB">
        <w:t>ditions</w:t>
      </w:r>
    </w:p>
    <w:tbl>
      <w:tblPr>
        <w:tblW w:w="0" w:type="auto"/>
        <w:tblLayout w:type="fixed"/>
        <w:tblCellMar>
          <w:left w:w="62" w:type="dxa"/>
          <w:right w:w="62" w:type="dxa"/>
        </w:tblCellMar>
        <w:tblLook w:val="0000"/>
      </w:tblPr>
      <w:tblGrid>
        <w:gridCol w:w="2231"/>
        <w:gridCol w:w="6841"/>
      </w:tblGrid>
      <w:tr w:rsidTr="00C856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t>This field allows for different work environments and conditions that may affect performance. Essential operating conditions that may be present (depending on the work situation, needs of the candidate, accessibility of the item, and local industry</w:t>
            </w:r>
            <w:r w:rsidRPr="00C856AB">
              <w:t xml:space="preserve"> and regional contexts) are included.</w:t>
            </w:r>
          </w:p>
        </w:tc>
      </w:tr>
      <w:tr w:rsidTr="00C856AB">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RPr="00C856AB" w:rsidP="00C856AB">
            <w:pPr>
              <w:pStyle w:val="BodyText"/>
            </w:pPr>
            <w:r w:rsidRPr="00C856AB">
              <w:rPr>
                <w:rStyle w:val="SpecialBold"/>
              </w:rPr>
              <w:t>Competitive systems and practices include one or more of:</w:t>
            </w:r>
          </w:p>
          <w:p w:rsidR="00000000" w:rsidP="00C856AB">
            <w:pPr>
              <w:pStyle w:val="BodyText"/>
              <w:rPr>
                <w:lang w:val="en-NZ"/>
              </w:rPr>
            </w:pPr>
          </w:p>
        </w:tc>
        <w:tc>
          <w:tcPr>
            <w:tcW w:w="6841" w:type="dxa"/>
            <w:tcBorders>
              <w:top w:val="nil"/>
              <w:left w:val="nil"/>
              <w:bottom w:val="nil"/>
              <w:right w:val="nil"/>
            </w:tcBorders>
            <w:tcMar>
              <w:top w:w="0" w:type="dxa"/>
              <w:left w:w="62" w:type="dxa"/>
              <w:bottom w:w="0" w:type="dxa"/>
              <w:right w:w="62" w:type="dxa"/>
            </w:tcMar>
          </w:tcPr>
          <w:p w:rsidR="00000000" w:rsidRPr="00C856AB" w:rsidP="00C856AB">
            <w:pPr>
              <w:pStyle w:val="ListBullet"/>
            </w:pPr>
            <w:r w:rsidRPr="00C856AB">
              <w:t>lean operations</w:t>
            </w:r>
          </w:p>
          <w:p w:rsidR="00000000" w:rsidRPr="00C856AB" w:rsidP="00C856AB">
            <w:pPr>
              <w:pStyle w:val="ListBullet"/>
            </w:pPr>
            <w:r w:rsidRPr="00C856AB">
              <w:t>agile operations</w:t>
            </w:r>
          </w:p>
          <w:p w:rsidR="00000000" w:rsidRPr="00C856AB" w:rsidP="00C856AB">
            <w:pPr>
              <w:pStyle w:val="ListBullet"/>
            </w:pPr>
            <w:r w:rsidRPr="00C856AB">
              <w:t>preventative and predictive maintenance approaches</w:t>
            </w:r>
          </w:p>
          <w:p w:rsidR="00000000" w:rsidRPr="00C856AB" w:rsidP="00C856AB">
            <w:pPr>
              <w:pStyle w:val="ListBullet"/>
            </w:pPr>
            <w:r w:rsidRPr="00C856AB">
              <w:t>statistical process control systems, including six sigma and three sigma</w:t>
            </w:r>
          </w:p>
          <w:p w:rsidR="00000000" w:rsidRPr="00C856AB" w:rsidP="00C856AB">
            <w:pPr>
              <w:pStyle w:val="ListBullet"/>
            </w:pPr>
            <w:r w:rsidRPr="00C856AB">
              <w:t>Just in Time (JIT), kanban and other pull-related operations control systems</w:t>
            </w:r>
          </w:p>
          <w:p w:rsidR="00000000" w:rsidRPr="00C856AB" w:rsidP="00C856AB">
            <w:pPr>
              <w:pStyle w:val="ListBullet"/>
            </w:pPr>
            <w:r w:rsidRPr="00C856AB">
              <w:t>supply, value, and demand chain monitoring and analysis</w:t>
            </w:r>
          </w:p>
          <w:p w:rsidR="00000000" w:rsidRPr="00C856AB" w:rsidP="00C856AB">
            <w:pPr>
              <w:pStyle w:val="ListBullet"/>
            </w:pPr>
            <w:r w:rsidRPr="00C856AB">
              <w:t xml:space="preserve">5S </w:t>
            </w:r>
          </w:p>
          <w:p w:rsidR="00000000" w:rsidRPr="00C856AB" w:rsidP="00C856AB">
            <w:pPr>
              <w:pStyle w:val="ListBullet"/>
            </w:pPr>
            <w:r w:rsidRPr="00C856AB">
              <w:t>continuous improvement (kaizen)</w:t>
            </w:r>
          </w:p>
          <w:p w:rsidR="00000000" w:rsidRPr="00C856AB" w:rsidP="00C856AB">
            <w:pPr>
              <w:pStyle w:val="ListBullet"/>
            </w:pPr>
            <w:r w:rsidRPr="00C856AB">
              <w:t>breakthrough improvement (kaizen blitz)</w:t>
            </w:r>
          </w:p>
          <w:p w:rsidR="00000000" w:rsidRPr="00C856AB" w:rsidP="00C856AB">
            <w:pPr>
              <w:pStyle w:val="ListBullet"/>
            </w:pPr>
            <w:r w:rsidRPr="00C856AB">
              <w:t>cause/effect diagrams</w:t>
            </w:r>
          </w:p>
          <w:p w:rsidR="00000000" w:rsidRPr="00C856AB" w:rsidP="00C856AB">
            <w:pPr>
              <w:pStyle w:val="ListBullet"/>
            </w:pPr>
            <w:r w:rsidRPr="00C856AB">
              <w:t>overall equipment effect</w:t>
            </w:r>
            <w:r w:rsidRPr="00C856AB">
              <w:t>iveness (OEE)</w:t>
            </w:r>
          </w:p>
          <w:p w:rsidR="00000000" w:rsidRPr="00C856AB" w:rsidP="00C856AB">
            <w:pPr>
              <w:pStyle w:val="ListBullet"/>
            </w:pPr>
            <w:r w:rsidRPr="00C856AB">
              <w:t>takt time</w:t>
            </w:r>
          </w:p>
          <w:p w:rsidR="00000000" w:rsidRPr="00C856AB" w:rsidP="00C856AB">
            <w:pPr>
              <w:pStyle w:val="ListBullet"/>
            </w:pPr>
            <w:r w:rsidRPr="00C856AB">
              <w:t>process mapping</w:t>
            </w:r>
          </w:p>
          <w:p w:rsidR="00000000" w:rsidRPr="00C856AB" w:rsidP="00C856AB">
            <w:pPr>
              <w:pStyle w:val="ListBullet"/>
            </w:pPr>
            <w:r w:rsidRPr="00C856AB">
              <w:t xml:space="preserve">problem solving </w:t>
            </w:r>
          </w:p>
          <w:p w:rsidR="00000000" w:rsidRPr="00C856AB" w:rsidP="00C856AB">
            <w:pPr>
              <w:pStyle w:val="ListBullet"/>
            </w:pPr>
            <w:r w:rsidRPr="00C856AB">
              <w:t>run charts</w:t>
            </w:r>
          </w:p>
          <w:p w:rsidR="00000000" w:rsidRPr="00C856AB" w:rsidP="00C856AB">
            <w:pPr>
              <w:pStyle w:val="ListBullet"/>
            </w:pPr>
            <w:r w:rsidRPr="00C856AB">
              <w:t>standard procedures</w:t>
            </w:r>
          </w:p>
          <w:p w:rsidR="00000000" w:rsidRPr="00C856AB" w:rsidP="00C856AB">
            <w:pPr>
              <w:pStyle w:val="ListBullet"/>
            </w:pPr>
            <w:r w:rsidRPr="00C856AB">
              <w:t>current reality tree.</w:t>
            </w:r>
          </w:p>
          <w:p w:rsidR="00000000" w:rsidP="00C856AB">
            <w:pPr>
              <w:pStyle w:val="BodyText"/>
              <w:rPr>
                <w:lang w:val="en-NZ"/>
              </w:rPr>
            </w:pPr>
          </w:p>
        </w:tc>
      </w:tr>
      <w:tr w:rsidTr="00C856AB">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rPr>
                <w:rStyle w:val="SpecialBold"/>
              </w:rPr>
              <w:t>Procedures (written, verbal, visual, computer based, etc.) include one or more of:</w:t>
            </w:r>
          </w:p>
        </w:tc>
        <w:tc>
          <w:tcPr>
            <w:tcW w:w="6841" w:type="dxa"/>
            <w:tcBorders>
              <w:top w:val="nil"/>
              <w:left w:val="nil"/>
              <w:bottom w:val="nil"/>
              <w:right w:val="nil"/>
            </w:tcBorders>
            <w:tcMar>
              <w:top w:w="0" w:type="dxa"/>
              <w:left w:w="62" w:type="dxa"/>
              <w:bottom w:w="0" w:type="dxa"/>
              <w:right w:w="62" w:type="dxa"/>
            </w:tcMar>
          </w:tcPr>
          <w:p w:rsidR="00000000" w:rsidRPr="00C856AB" w:rsidP="00C856AB">
            <w:pPr>
              <w:pStyle w:val="ListBullet"/>
            </w:pPr>
            <w:r w:rsidRPr="00C856AB">
              <w:t>work instructions</w:t>
            </w:r>
          </w:p>
          <w:p w:rsidR="00000000" w:rsidRPr="00C856AB" w:rsidP="00C856AB">
            <w:pPr>
              <w:pStyle w:val="ListBullet"/>
            </w:pPr>
            <w:r w:rsidRPr="00C856AB">
              <w:t>standard operating procedures (SOPs)</w:t>
            </w:r>
          </w:p>
          <w:p w:rsidR="00000000" w:rsidRPr="00C856AB" w:rsidP="00C856AB">
            <w:pPr>
              <w:pStyle w:val="ListBullet"/>
            </w:pPr>
            <w:r w:rsidRPr="00C856AB">
              <w:t>safe work method statements</w:t>
            </w:r>
          </w:p>
          <w:p w:rsidR="00000000" w:rsidRPr="00C856AB" w:rsidP="00C856AB">
            <w:pPr>
              <w:pStyle w:val="ListBullet"/>
            </w:pPr>
            <w:r w:rsidRPr="00C856AB">
              <w:t>formulas/recipes</w:t>
            </w:r>
          </w:p>
          <w:p w:rsidR="00000000" w:rsidRPr="00C856AB" w:rsidP="00C856AB">
            <w:pPr>
              <w:pStyle w:val="ListBullet"/>
            </w:pPr>
            <w:r w:rsidRPr="00C856AB">
              <w:t>batch sheets</w:t>
            </w:r>
          </w:p>
          <w:p w:rsidR="00000000" w:rsidRPr="00C856AB" w:rsidP="00C856AB">
            <w:pPr>
              <w:pStyle w:val="ListBullet"/>
            </w:pPr>
            <w:r w:rsidRPr="00C856AB">
              <w:t>temporary instructions</w:t>
            </w:r>
          </w:p>
          <w:p w:rsidR="00000000" w:rsidRPr="00C856AB" w:rsidP="00C856AB">
            <w:pPr>
              <w:pStyle w:val="ListBullet"/>
            </w:pPr>
            <w:r w:rsidRPr="00C856AB">
              <w:t>any similar instructions provided for the smooth running of the plant.</w:t>
            </w:r>
          </w:p>
          <w:p w:rsidR="00000000" w:rsidP="00C856AB">
            <w:pPr>
              <w:pStyle w:val="BodyText"/>
              <w:rPr>
                <w:lang w:val="en-NZ"/>
              </w:rPr>
            </w:pPr>
          </w:p>
        </w:tc>
      </w:tr>
      <w:tr w:rsidTr="00C856AB">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rPr>
                <w:rStyle w:val="SpecialBold"/>
              </w:rPr>
              <w:t>Manual handling hazards include one or more of</w:t>
            </w:r>
          </w:p>
        </w:tc>
        <w:tc>
          <w:tcPr>
            <w:tcW w:w="6841" w:type="dxa"/>
            <w:tcBorders>
              <w:top w:val="nil"/>
              <w:left w:val="nil"/>
              <w:bottom w:val="nil"/>
              <w:right w:val="nil"/>
            </w:tcBorders>
            <w:tcMar>
              <w:top w:w="0" w:type="dxa"/>
              <w:left w:w="62" w:type="dxa"/>
              <w:bottom w:w="0" w:type="dxa"/>
              <w:right w:w="62" w:type="dxa"/>
            </w:tcMar>
          </w:tcPr>
          <w:p w:rsidR="00000000" w:rsidRPr="00C856AB" w:rsidP="00C856AB">
            <w:pPr>
              <w:pStyle w:val="ListBullet"/>
            </w:pPr>
            <w:r w:rsidRPr="00C856AB">
              <w:t xml:space="preserve">loads that pose a risk of injury </w:t>
            </w:r>
          </w:p>
          <w:p w:rsidR="00000000" w:rsidRPr="00C856AB" w:rsidP="00C856AB">
            <w:pPr>
              <w:pStyle w:val="ListBullet"/>
            </w:pPr>
            <w:r w:rsidRPr="00C856AB">
              <w:t>ergonomically unsoun</w:t>
            </w:r>
            <w:r w:rsidRPr="00C856AB">
              <w:t xml:space="preserve">d movements </w:t>
            </w:r>
          </w:p>
          <w:p w:rsidR="00000000" w:rsidRPr="00C856AB" w:rsidP="00C856AB">
            <w:pPr>
              <w:pStyle w:val="ListBullet"/>
            </w:pPr>
            <w:r w:rsidRPr="00C856AB">
              <w:t>hazard requirements as defined by relevant work health and safety (WHS) Acts and regulations, industry standards and best practice.</w:t>
            </w:r>
          </w:p>
          <w:p w:rsidR="00000000" w:rsidP="00C856AB">
            <w:pPr>
              <w:pStyle w:val="BodyText"/>
              <w:rPr>
                <w:lang w:val="en-NZ"/>
              </w:rPr>
            </w:pPr>
          </w:p>
        </w:tc>
      </w:tr>
      <w:tr w:rsidTr="00C856AB">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rPr>
                <w:rStyle w:val="SpecialBold"/>
              </w:rPr>
              <w:t>Ergonomically unsound movements include one or more of</w:t>
            </w:r>
          </w:p>
        </w:tc>
        <w:tc>
          <w:tcPr>
            <w:tcW w:w="6841" w:type="dxa"/>
            <w:tcBorders>
              <w:top w:val="nil"/>
              <w:left w:val="nil"/>
              <w:bottom w:val="nil"/>
              <w:right w:val="nil"/>
            </w:tcBorders>
            <w:tcMar>
              <w:top w:w="0" w:type="dxa"/>
              <w:left w:w="62" w:type="dxa"/>
              <w:bottom w:w="0" w:type="dxa"/>
              <w:right w:w="62" w:type="dxa"/>
            </w:tcMar>
          </w:tcPr>
          <w:p w:rsidR="00000000" w:rsidRPr="00C856AB" w:rsidP="00C856AB">
            <w:pPr>
              <w:pStyle w:val="ListBullet"/>
            </w:pPr>
            <w:r w:rsidRPr="00C856AB">
              <w:t>awkward and repetitive movements</w:t>
            </w:r>
          </w:p>
          <w:p w:rsidR="00000000" w:rsidRPr="00C856AB" w:rsidP="00C856AB">
            <w:pPr>
              <w:pStyle w:val="ListBullet"/>
            </w:pPr>
            <w:r w:rsidRPr="00C856AB">
              <w:t>carrying, pushing, pulling or lifting of heavy loads</w:t>
            </w:r>
          </w:p>
          <w:p w:rsidR="00000000" w:rsidRPr="00C856AB" w:rsidP="00C856AB">
            <w:pPr>
              <w:pStyle w:val="ListBullet"/>
            </w:pPr>
            <w:r w:rsidRPr="00C856AB">
              <w:t>carrying or movement of hard, sharp, slippery or other difficult to grasp loads.</w:t>
            </w:r>
          </w:p>
          <w:p w:rsidR="00000000" w:rsidP="00C856AB">
            <w:pPr>
              <w:pStyle w:val="BodyText"/>
              <w:rPr>
                <w:lang w:val="en-NZ"/>
              </w:rPr>
            </w:pPr>
          </w:p>
        </w:tc>
      </w:tr>
      <w:tr w:rsidTr="00C856AB">
        <w:tblPrEx>
          <w:tblW w:w="0" w:type="auto"/>
          <w:tblLayout w:type="fixed"/>
          <w:tblCellMar>
            <w:left w:w="62" w:type="dxa"/>
            <w:right w:w="62" w:type="dxa"/>
          </w:tblCellMar>
          <w:tblLook w:val="0000"/>
        </w:tblPrEx>
        <w:trPr>
          <w:trHeight w:val="1444"/>
        </w:trPr>
        <w:tc>
          <w:tcPr>
            <w:tcW w:w="2231" w:type="dxa"/>
            <w:tcBorders>
              <w:top w:val="nil"/>
              <w:left w:val="nil"/>
              <w:bottom w:val="nil"/>
              <w:right w:val="nil"/>
            </w:tcBorders>
            <w:tcMar>
              <w:top w:w="0" w:type="dxa"/>
              <w:left w:w="62" w:type="dxa"/>
              <w:bottom w:w="0" w:type="dxa"/>
              <w:right w:w="62" w:type="dxa"/>
            </w:tcMar>
          </w:tcPr>
          <w:p w:rsidR="00000000" w:rsidP="00C856AB">
            <w:pPr>
              <w:pStyle w:val="BodyText"/>
              <w:rPr>
                <w:lang w:val="en-NZ"/>
              </w:rPr>
            </w:pPr>
            <w:r w:rsidRPr="00C856AB">
              <w:rPr>
                <w:rStyle w:val="SpecialBold"/>
              </w:rPr>
              <w:t>Ergonomically sound movements include one or more of</w:t>
            </w:r>
          </w:p>
        </w:tc>
        <w:tc>
          <w:tcPr>
            <w:tcW w:w="6841" w:type="dxa"/>
            <w:tcBorders>
              <w:top w:val="nil"/>
              <w:left w:val="nil"/>
              <w:bottom w:val="nil"/>
              <w:right w:val="nil"/>
            </w:tcBorders>
            <w:tcMar>
              <w:top w:w="0" w:type="dxa"/>
              <w:left w:w="62" w:type="dxa"/>
              <w:bottom w:w="0" w:type="dxa"/>
              <w:right w:w="62" w:type="dxa"/>
            </w:tcMar>
          </w:tcPr>
          <w:p w:rsidR="00000000" w:rsidRPr="00C856AB" w:rsidP="00C856AB">
            <w:pPr>
              <w:pStyle w:val="ListBullet"/>
            </w:pPr>
            <w:r w:rsidRPr="00C856AB">
              <w:t>keeping loads close to the body and near the person</w:t>
            </w:r>
            <w:r>
              <w:t>’</w:t>
            </w:r>
            <w:r w:rsidRPr="00C856AB">
              <w:t>s centre of gr</w:t>
            </w:r>
            <w:r w:rsidRPr="00C856AB">
              <w:t>avity</w:t>
            </w:r>
          </w:p>
          <w:p w:rsidR="00000000" w:rsidRPr="00C856AB" w:rsidP="00C856AB">
            <w:pPr>
              <w:pStyle w:val="ListBullet"/>
            </w:pPr>
            <w:r w:rsidRPr="00C856AB">
              <w:t>using diagonal foot positions for lifting</w:t>
            </w:r>
          </w:p>
          <w:p w:rsidR="00000000" w:rsidRPr="00C856AB" w:rsidP="00C856AB">
            <w:pPr>
              <w:pStyle w:val="ListBullet"/>
            </w:pPr>
            <w:r w:rsidRPr="00C856AB">
              <w:t>moving loads at waist height rather than directly from the floor.</w:t>
            </w:r>
          </w:p>
          <w:p w:rsidR="00000000" w:rsidRPr="00C856AB" w:rsidP="00C856AB">
            <w:pPr>
              <w:pStyle w:val="BodyText"/>
            </w:pPr>
          </w:p>
        </w:tc>
      </w:tr>
    </w:tbl>
    <w:p w:rsidR="00000000" w:rsidRPr="00C856AB" w:rsidP="00C856AB">
      <w:pPr>
        <w:pStyle w:val="BodyText"/>
      </w:pPr>
    </w:p>
    <w:p w:rsidR="00000000" w:rsidRPr="00C856AB" w:rsidP="00C856AB">
      <w:pPr>
        <w:pStyle w:val="AllowPageBreak"/>
      </w:pPr>
    </w:p>
    <w:p w:rsidR="00000000" w:rsidRPr="00C856AB" w:rsidP="00C856AB">
      <w:pPr>
        <w:pStyle w:val="Heading1"/>
      </w:pPr>
      <w:bookmarkStart w:id="9" w:name="O_920588"/>
      <w:bookmarkEnd w:id="9"/>
      <w:r w:rsidRPr="00C856AB">
        <w:t>Unit Mapping Information</w:t>
      </w:r>
    </w:p>
    <w:p w:rsidR="00000000" w:rsidRPr="00C856AB" w:rsidP="00D47A56">
      <w:pPr>
        <w:pStyle w:val="BodyText"/>
      </w:pPr>
      <w:r w:rsidRPr="00C856AB">
        <w:t>Release 1. Supersedes and is equivalent to MSS403032A Analyse manual handling processes</w:t>
      </w:r>
    </w:p>
    <w:p w:rsidR="00000000" w:rsidRPr="00C856AB" w:rsidP="00C856AB">
      <w:pPr>
        <w:pStyle w:val="Heading1"/>
      </w:pPr>
      <w:bookmarkStart w:id="10" w:name="O_920581"/>
      <w:bookmarkEnd w:id="10"/>
      <w:r w:rsidRPr="00C856AB">
        <w:t>Links</w:t>
      </w:r>
    </w:p>
    <w:p w:rsidR="00000000" w:rsidRPr="00C856AB" w:rsidP="00D47A56">
      <w:pPr>
        <w:pStyle w:val="BodyText"/>
      </w:pPr>
      <w:r w:rsidRPr="00C856A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D67E4">
        <w:rPr>
          <w:rStyle w:val="Hyperlink"/>
        </w:rPr>
        <w:t>https://vetnet.gov.au/Pages/TrainingDocs.aspx?q=5b04f318-804f-4dc0-9463-c3fb9a3fe998</w:t>
      </w:r>
      <w:r>
        <w:fldChar w:fldCharType="end"/>
      </w:r>
    </w:p>
    <w:p w:rsidR="00000000" w:rsidRPr="00C856AB" w:rsidP="00C856AB"/>
    <w:sectPr w:rsidSect="00C856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AB" w:rsidRPr="00D47A56" w:rsidP="00D47A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56" w:rsidP="00C856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7A56" w:rsidP="00C856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47A56" w:rsidP="00C856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6AB" w:rsidRPr="00D47A56" w:rsidP="00D47A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56" w:rsidRPr="002D2AF8" w:rsidP="00C856AB">
    <w:pPr>
      <w:pStyle w:val="Header"/>
      <w:framePr w:wrap="around"/>
    </w:pPr>
    <w:r>
      <w:fldChar w:fldCharType="begin"/>
    </w:r>
    <w:r>
      <w:instrText xml:space="preserve"> TITLE   \* MERGEFORMAT </w:instrText>
    </w:r>
    <w:r>
      <w:fldChar w:fldCharType="separate"/>
    </w:r>
    <w:r>
      <w:t>MSS403032 Analyse manual handling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D47A56" w:rsidP="00C856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C2E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7291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6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6AB"/>
    <w:pPr>
      <w:spacing w:before="360" w:after="60"/>
      <w:outlineLvl w:val="0"/>
    </w:pPr>
    <w:rPr>
      <w:sz w:val="32"/>
    </w:rPr>
  </w:style>
  <w:style w:type="paragraph" w:styleId="Heading2">
    <w:name w:val="heading 2"/>
    <w:basedOn w:val="HeadingBase"/>
    <w:next w:val="BodyText"/>
    <w:link w:val="Heading2Char"/>
    <w:qFormat/>
    <w:rsid w:val="00C856AB"/>
    <w:pPr>
      <w:keepLines/>
      <w:spacing w:before="240" w:after="120"/>
      <w:outlineLvl w:val="1"/>
    </w:pPr>
    <w:rPr>
      <w:sz w:val="28"/>
      <w:szCs w:val="40"/>
    </w:rPr>
  </w:style>
  <w:style w:type="paragraph" w:styleId="Heading3">
    <w:name w:val="heading 3"/>
    <w:basedOn w:val="HeadingBase"/>
    <w:next w:val="BodyText"/>
    <w:link w:val="Heading3Char"/>
    <w:qFormat/>
    <w:rsid w:val="00C856AB"/>
    <w:pPr>
      <w:spacing w:before="180" w:after="120"/>
      <w:outlineLvl w:val="2"/>
    </w:pPr>
    <w:rPr>
      <w:spacing w:val="-10"/>
      <w:kern w:val="32"/>
    </w:rPr>
  </w:style>
  <w:style w:type="paragraph" w:styleId="Heading4">
    <w:name w:val="heading 4"/>
    <w:basedOn w:val="HeadingBase"/>
    <w:next w:val="BodyText"/>
    <w:link w:val="Heading4Char"/>
    <w:qFormat/>
    <w:rsid w:val="00C856AB"/>
    <w:pPr>
      <w:spacing w:before="160" w:after="120"/>
      <w:outlineLvl w:val="3"/>
    </w:pPr>
    <w:rPr>
      <w:sz w:val="22"/>
    </w:rPr>
  </w:style>
  <w:style w:type="paragraph" w:styleId="Heading5">
    <w:name w:val="heading 5"/>
    <w:basedOn w:val="HeadingBase"/>
    <w:next w:val="Normal"/>
    <w:link w:val="Heading5Char"/>
    <w:qFormat/>
    <w:rsid w:val="00C856AB"/>
    <w:pPr>
      <w:spacing w:before="80"/>
      <w:outlineLvl w:val="4"/>
    </w:pPr>
    <w:rPr>
      <w:color w:val="918585"/>
      <w:sz w:val="20"/>
    </w:rPr>
  </w:style>
  <w:style w:type="paragraph" w:styleId="Heading6">
    <w:name w:val="heading 6"/>
    <w:basedOn w:val="HeadingBase"/>
    <w:next w:val="Normal"/>
    <w:link w:val="Heading6Char"/>
    <w:qFormat/>
    <w:rsid w:val="00C856AB"/>
    <w:pPr>
      <w:spacing w:before="60"/>
      <w:outlineLvl w:val="5"/>
    </w:pPr>
    <w:rPr>
      <w:color w:val="918585"/>
      <w:sz w:val="20"/>
    </w:rPr>
  </w:style>
  <w:style w:type="paragraph" w:styleId="Heading7">
    <w:name w:val="heading 7"/>
    <w:basedOn w:val="Normal"/>
    <w:next w:val="Normal"/>
    <w:link w:val="Heading7Char"/>
    <w:qFormat/>
    <w:rsid w:val="00C856AB"/>
    <w:pPr>
      <w:ind w:left="720"/>
      <w:outlineLvl w:val="6"/>
    </w:pPr>
    <w:rPr>
      <w:i/>
    </w:rPr>
  </w:style>
  <w:style w:type="paragraph" w:styleId="Heading8">
    <w:name w:val="heading 8"/>
    <w:basedOn w:val="Normal"/>
    <w:next w:val="Normal"/>
    <w:link w:val="Heading8Char"/>
    <w:qFormat/>
    <w:rsid w:val="00C856AB"/>
    <w:pPr>
      <w:ind w:left="720"/>
      <w:outlineLvl w:val="7"/>
    </w:pPr>
    <w:rPr>
      <w:i/>
    </w:rPr>
  </w:style>
  <w:style w:type="paragraph" w:styleId="Heading9">
    <w:name w:val="heading 9"/>
    <w:basedOn w:val="Normal"/>
    <w:next w:val="Normal"/>
    <w:link w:val="Heading9Char"/>
    <w:qFormat/>
    <w:rsid w:val="00C856AB"/>
    <w:pPr>
      <w:ind w:left="720"/>
      <w:outlineLvl w:val="8"/>
    </w:pPr>
    <w:rPr>
      <w:i/>
    </w:rPr>
  </w:style>
  <w:style w:type="character" w:default="1" w:styleId="DefaultParagraphFont">
    <w:name w:val="Default Paragraph Font"/>
    <w:uiPriority w:val="1"/>
    <w:unhideWhenUsed/>
    <w:rsid w:val="00C856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6AB"/>
  </w:style>
  <w:style w:type="character" w:customStyle="1" w:styleId="Heading1Char">
    <w:name w:val="Heading 1 Char"/>
    <w:basedOn w:val="DefaultParagraphFont"/>
    <w:link w:val="Heading1"/>
    <w:rsid w:val="00C856AB"/>
    <w:rPr>
      <w:rFonts w:ascii="Times New Roman" w:eastAsia="Times New Roman" w:hAnsi="Times New Roman" w:cs="Times New Roman"/>
      <w:b/>
      <w:sz w:val="32"/>
      <w:szCs w:val="20"/>
      <w:lang w:eastAsia="en-US"/>
    </w:rPr>
  </w:style>
  <w:style w:type="paragraph" w:styleId="BodyText">
    <w:name w:val="Body Text"/>
    <w:basedOn w:val="Normal"/>
    <w:link w:val="BodyTextChar"/>
    <w:rsid w:val="00C856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6AB"/>
    <w:rPr>
      <w:rFonts w:ascii="Times New Roman" w:eastAsia="Times New Roman" w:hAnsi="Times New Roman" w:cs="Times New Roman"/>
      <w:sz w:val="24"/>
      <w:lang w:eastAsia="en-US"/>
    </w:rPr>
  </w:style>
  <w:style w:type="paragraph" w:styleId="ListBullet">
    <w:name w:val="List Bullet"/>
    <w:basedOn w:val="List"/>
    <w:rsid w:val="00C856AB"/>
    <w:pPr>
      <w:numPr>
        <w:numId w:val="11"/>
      </w:numPr>
      <w:tabs>
        <w:tab w:val="clear" w:pos="340"/>
      </w:tabs>
      <w:spacing w:before="40" w:after="40"/>
    </w:pPr>
  </w:style>
  <w:style w:type="character" w:customStyle="1" w:styleId="SpecialBold">
    <w:name w:val="Special Bold"/>
    <w:basedOn w:val="DefaultParagraphFont"/>
    <w:rsid w:val="00C856AB"/>
    <w:rPr>
      <w:b/>
      <w:spacing w:val="0"/>
    </w:rPr>
  </w:style>
  <w:style w:type="paragraph" w:customStyle="1" w:styleId="SuperHeading">
    <w:name w:val="SuperHeading"/>
    <w:basedOn w:val="Normal"/>
    <w:rsid w:val="00C856AB"/>
    <w:pPr>
      <w:spacing w:before="240" w:after="120"/>
      <w:outlineLvl w:val="0"/>
    </w:pPr>
    <w:rPr>
      <w:rFonts w:ascii="Times New Roman" w:hAnsi="Times New Roman"/>
      <w:b/>
      <w:sz w:val="32"/>
    </w:rPr>
  </w:style>
  <w:style w:type="paragraph" w:customStyle="1" w:styleId="AllowPageBreak">
    <w:name w:val="AllowPageBreak"/>
    <w:rsid w:val="00C856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56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6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6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6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6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6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6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6AB"/>
    <w:rPr>
      <w:rFonts w:ascii="Courier New" w:eastAsia="Times New Roman" w:hAnsi="Courier New" w:cs="Times New Roman"/>
      <w:i/>
      <w:szCs w:val="20"/>
      <w:lang w:eastAsia="en-US"/>
    </w:rPr>
  </w:style>
  <w:style w:type="paragraph" w:customStyle="1" w:styleId="HeadingBase">
    <w:name w:val="Heading Base"/>
    <w:rsid w:val="00C856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6AB"/>
    <w:pPr>
      <w:tabs>
        <w:tab w:val="right" w:leader="dot" w:pos="9072"/>
      </w:tabs>
      <w:ind w:left="567"/>
    </w:pPr>
    <w:rPr>
      <w:szCs w:val="22"/>
    </w:rPr>
  </w:style>
  <w:style w:type="paragraph" w:customStyle="1" w:styleId="TOCBase">
    <w:name w:val="TOC Base"/>
    <w:rsid w:val="00C856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6AB"/>
    <w:pPr>
      <w:tabs>
        <w:tab w:val="right" w:leader="dot" w:pos="9072"/>
      </w:tabs>
      <w:spacing w:before="40" w:after="40"/>
      <w:ind w:left="284"/>
    </w:pPr>
    <w:rPr>
      <w:rFonts w:ascii="Times New Roman" w:hAnsi="Times New Roman"/>
    </w:rPr>
  </w:style>
  <w:style w:type="paragraph" w:styleId="TOC1">
    <w:name w:val="toc 1"/>
    <w:basedOn w:val="TOCBase"/>
    <w:next w:val="Normal"/>
    <w:rsid w:val="00C856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6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6AB"/>
    <w:rPr>
      <w:rFonts w:ascii="Times New Roman" w:eastAsia="Times New Roman" w:hAnsi="Times New Roman" w:cs="Times New Roman"/>
      <w:sz w:val="16"/>
      <w:lang w:eastAsia="en-US"/>
    </w:rPr>
  </w:style>
  <w:style w:type="paragraph" w:styleId="Title">
    <w:name w:val="Title"/>
    <w:basedOn w:val="HeadingBase"/>
    <w:link w:val="TitleChar"/>
    <w:qFormat/>
    <w:rsid w:val="00C856AB"/>
    <w:pPr>
      <w:spacing w:before="5040"/>
      <w:jc w:val="center"/>
    </w:pPr>
    <w:rPr>
      <w:sz w:val="48"/>
      <w:szCs w:val="72"/>
      <w:lang w:val="en-US"/>
    </w:rPr>
  </w:style>
  <w:style w:type="character" w:customStyle="1" w:styleId="TitleChar">
    <w:name w:val="Title Char"/>
    <w:basedOn w:val="DefaultParagraphFont"/>
    <w:link w:val="Title"/>
    <w:rsid w:val="00C856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6AB"/>
    <w:pPr>
      <w:tabs>
        <w:tab w:val="left" w:pos="3600"/>
        <w:tab w:val="left" w:pos="3958"/>
      </w:tabs>
    </w:pPr>
  </w:style>
  <w:style w:type="paragraph" w:styleId="List">
    <w:name w:val="List"/>
    <w:basedOn w:val="BodyText"/>
    <w:next w:val="BodyText"/>
    <w:rsid w:val="00C856AB"/>
    <w:pPr>
      <w:tabs>
        <w:tab w:val="left" w:pos="340"/>
      </w:tabs>
      <w:spacing w:before="60" w:after="60"/>
      <w:ind w:left="340" w:hanging="340"/>
    </w:pPr>
  </w:style>
  <w:style w:type="paragraph" w:customStyle="1" w:styleId="Note">
    <w:name w:val="Note"/>
    <w:basedOn w:val="BodyText"/>
    <w:rsid w:val="00C856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6AB"/>
    <w:pPr>
      <w:framePr w:wrap="auto" w:hAnchor="text" w:y="6049"/>
    </w:pPr>
    <w:rPr>
      <w:color w:val="000000"/>
      <w:sz w:val="40"/>
    </w:rPr>
  </w:style>
  <w:style w:type="paragraph" w:customStyle="1" w:styleId="TOCTitle">
    <w:name w:val="TOCTitle"/>
    <w:basedOn w:val="Heading1"/>
    <w:rsid w:val="00C856AB"/>
    <w:pPr>
      <w:spacing w:after="240"/>
      <w:jc w:val="center"/>
      <w:outlineLvl w:val="9"/>
    </w:pPr>
    <w:rPr>
      <w:caps/>
    </w:rPr>
  </w:style>
  <w:style w:type="paragraph" w:customStyle="1" w:styleId="Version">
    <w:name w:val="Version"/>
    <w:rsid w:val="00C856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56AB"/>
    <w:pPr>
      <w:numPr>
        <w:numId w:val="12"/>
      </w:numPr>
      <w:tabs>
        <w:tab w:val="clear" w:pos="680"/>
      </w:tabs>
    </w:pPr>
  </w:style>
  <w:style w:type="paragraph" w:styleId="Index1">
    <w:name w:val="index 1"/>
    <w:basedOn w:val="Normal"/>
    <w:next w:val="Normal"/>
    <w:semiHidden/>
    <w:rsid w:val="00C856AB"/>
    <w:pPr>
      <w:keepNext w:val="0"/>
      <w:tabs>
        <w:tab w:val="right" w:pos="4176"/>
      </w:tabs>
      <w:ind w:left="198" w:hanging="198"/>
    </w:pPr>
    <w:rPr>
      <w:rFonts w:ascii="Garamond" w:hAnsi="Garamond"/>
    </w:rPr>
  </w:style>
  <w:style w:type="paragraph" w:styleId="IndexHeading">
    <w:name w:val="index heading"/>
    <w:basedOn w:val="Normal"/>
    <w:next w:val="Index1"/>
    <w:semiHidden/>
    <w:rsid w:val="00C856AB"/>
    <w:pPr>
      <w:spacing w:before="120" w:after="120"/>
    </w:pPr>
    <w:rPr>
      <w:rFonts w:ascii="Arial" w:hAnsi="Arial"/>
      <w:b/>
      <w:color w:val="918585"/>
      <w:sz w:val="24"/>
    </w:rPr>
  </w:style>
  <w:style w:type="paragraph" w:styleId="Header">
    <w:name w:val="header"/>
    <w:basedOn w:val="Normal"/>
    <w:link w:val="HeaderChar"/>
    <w:rsid w:val="00C856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6AB"/>
    <w:rPr>
      <w:rFonts w:ascii="Times New Roman" w:eastAsia="Times New Roman" w:hAnsi="Times New Roman" w:cs="Times New Roman"/>
      <w:sz w:val="16"/>
      <w:szCs w:val="20"/>
      <w:lang w:val="en-GB" w:eastAsia="en-US"/>
    </w:rPr>
  </w:style>
  <w:style w:type="paragraph" w:customStyle="1" w:styleId="Chapter">
    <w:name w:val="Chapter"/>
    <w:basedOn w:val="Normal"/>
    <w:rsid w:val="00C856AB"/>
    <w:pPr>
      <w:spacing w:before="240"/>
    </w:pPr>
    <w:rPr>
      <w:rFonts w:ascii="Times New Roman" w:hAnsi="Times New Roman"/>
      <w:smallCaps/>
      <w:spacing w:val="80"/>
      <w:sz w:val="28"/>
    </w:rPr>
  </w:style>
  <w:style w:type="paragraph" w:customStyle="1" w:styleId="InChapter">
    <w:name w:val="InChapter"/>
    <w:basedOn w:val="Heading3"/>
    <w:rsid w:val="00C856AB"/>
    <w:pPr>
      <w:spacing w:after="240"/>
      <w:outlineLvl w:val="9"/>
    </w:pPr>
    <w:rPr>
      <w:noProof/>
    </w:rPr>
  </w:style>
  <w:style w:type="paragraph" w:styleId="Index2">
    <w:name w:val="index 2"/>
    <w:basedOn w:val="Normal"/>
    <w:next w:val="Normal"/>
    <w:semiHidden/>
    <w:rsid w:val="00C856AB"/>
    <w:pPr>
      <w:tabs>
        <w:tab w:val="right" w:pos="4176"/>
      </w:tabs>
      <w:ind w:left="568" w:hanging="284"/>
    </w:pPr>
    <w:rPr>
      <w:rFonts w:ascii="Garamond" w:hAnsi="Garamond"/>
    </w:rPr>
  </w:style>
  <w:style w:type="paragraph" w:customStyle="1" w:styleId="Byline">
    <w:name w:val="Byline"/>
    <w:rsid w:val="00C856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6AB"/>
    <w:pPr>
      <w:tabs>
        <w:tab w:val="clear" w:pos="3600"/>
        <w:tab w:val="clear" w:pos="3958"/>
      </w:tabs>
      <w:jc w:val="right"/>
    </w:pPr>
  </w:style>
  <w:style w:type="character" w:styleId="Emphasis">
    <w:name w:val="Emphasis"/>
    <w:basedOn w:val="DefaultParagraphFont"/>
    <w:qFormat/>
    <w:rsid w:val="00C856AB"/>
    <w:rPr>
      <w:i/>
    </w:rPr>
  </w:style>
  <w:style w:type="paragraph" w:styleId="Caption">
    <w:name w:val="caption"/>
    <w:basedOn w:val="BodyText"/>
    <w:next w:val="Normal"/>
    <w:qFormat/>
    <w:rsid w:val="00C856AB"/>
    <w:pPr>
      <w:framePr w:w="2268" w:hSpace="181" w:vSpace="181" w:wrap="around" w:vAnchor="text" w:hAnchor="page" w:x="1135" w:y="285" w:anchorLock="1"/>
    </w:pPr>
    <w:rPr>
      <w:i/>
    </w:rPr>
  </w:style>
  <w:style w:type="paragraph" w:customStyle="1" w:styleId="MiniTOCTitle">
    <w:name w:val="MiniTOCTitle"/>
    <w:basedOn w:val="Heading4"/>
    <w:rsid w:val="00C856AB"/>
    <w:pPr>
      <w:spacing w:before="240"/>
      <w:outlineLvl w:val="9"/>
    </w:pPr>
    <w:rPr>
      <w:noProof/>
      <w:sz w:val="24"/>
    </w:rPr>
  </w:style>
  <w:style w:type="paragraph" w:customStyle="1" w:styleId="MiniTOCItem">
    <w:name w:val="MiniTOCItem"/>
    <w:basedOn w:val="ListBullet"/>
    <w:rsid w:val="00C856AB"/>
    <w:pPr>
      <w:numPr>
        <w:numId w:val="0"/>
      </w:numPr>
      <w:tabs>
        <w:tab w:val="right" w:leader="dot" w:pos="6521"/>
      </w:tabs>
      <w:spacing w:before="0" w:after="0"/>
    </w:pPr>
  </w:style>
  <w:style w:type="paragraph" w:customStyle="1" w:styleId="TOFTitle">
    <w:name w:val="TOFTitle"/>
    <w:basedOn w:val="TOCTitle"/>
    <w:rsid w:val="00C856AB"/>
  </w:style>
  <w:style w:type="paragraph" w:styleId="TableofFigures">
    <w:name w:val="table of figures"/>
    <w:basedOn w:val="Normal"/>
    <w:next w:val="Normal"/>
    <w:semiHidden/>
    <w:rsid w:val="00C856AB"/>
    <w:pPr>
      <w:tabs>
        <w:tab w:val="right" w:leader="dot" w:pos="9072"/>
      </w:tabs>
      <w:ind w:left="970" w:hanging="403"/>
    </w:pPr>
    <w:rPr>
      <w:rFonts w:ascii="Times New Roman" w:hAnsi="Times New Roman"/>
      <w:b/>
    </w:rPr>
  </w:style>
  <w:style w:type="paragraph" w:styleId="ListNumber">
    <w:name w:val="List Number"/>
    <w:basedOn w:val="List"/>
    <w:rsid w:val="00C856AB"/>
    <w:pPr>
      <w:numPr>
        <w:numId w:val="14"/>
      </w:numPr>
      <w:tabs>
        <w:tab w:val="clear" w:pos="340"/>
      </w:tabs>
    </w:pPr>
  </w:style>
  <w:style w:type="character" w:customStyle="1" w:styleId="WingdingSymbols">
    <w:name w:val="Wingding Symbols"/>
    <w:rsid w:val="00C856AB"/>
    <w:rPr>
      <w:rFonts w:ascii="Wingdings" w:hAnsi="Wingdings"/>
    </w:rPr>
  </w:style>
  <w:style w:type="paragraph" w:customStyle="1" w:styleId="TableHeading">
    <w:name w:val="Table Heading"/>
    <w:basedOn w:val="HeadingBase"/>
    <w:rsid w:val="00C856AB"/>
    <w:pPr>
      <w:keepLines/>
      <w:pBdr>
        <w:bottom w:val="single" w:sz="6" w:space="1" w:color="918585"/>
      </w:pBdr>
      <w:spacing w:before="240"/>
    </w:pPr>
  </w:style>
  <w:style w:type="character" w:customStyle="1" w:styleId="HotSpot">
    <w:name w:val="HotSpot"/>
    <w:rsid w:val="00C856AB"/>
    <w:rPr>
      <w:color w:val="0033CC"/>
      <w:u w:val="none"/>
    </w:rPr>
  </w:style>
  <w:style w:type="paragraph" w:customStyle="1" w:styleId="BodyTextRight">
    <w:name w:val="Body Text Right"/>
    <w:basedOn w:val="BodyText"/>
    <w:rsid w:val="00C856AB"/>
    <w:pPr>
      <w:spacing w:before="0" w:after="0"/>
      <w:jc w:val="right"/>
    </w:pPr>
  </w:style>
  <w:style w:type="paragraph" w:styleId="Index3">
    <w:name w:val="index 3"/>
    <w:basedOn w:val="ListNumber2"/>
    <w:next w:val="Normal"/>
    <w:semiHidden/>
    <w:rsid w:val="00C856AB"/>
    <w:pPr>
      <w:numPr>
        <w:numId w:val="0"/>
      </w:numPr>
      <w:tabs>
        <w:tab w:val="right" w:leader="dot" w:pos="4176"/>
      </w:tabs>
    </w:pPr>
  </w:style>
  <w:style w:type="paragraph" w:styleId="ListNumber2">
    <w:name w:val="List Number 2"/>
    <w:basedOn w:val="List2"/>
    <w:rsid w:val="00C856AB"/>
    <w:pPr>
      <w:numPr>
        <w:numId w:val="9"/>
      </w:numPr>
      <w:tabs>
        <w:tab w:val="clear" w:pos="1060"/>
      </w:tabs>
    </w:pPr>
  </w:style>
  <w:style w:type="paragraph" w:customStyle="1" w:styleId="MarginNote">
    <w:name w:val="Margin Note"/>
    <w:basedOn w:val="BodyText"/>
    <w:rsid w:val="00C856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6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6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6AB"/>
    <w:rPr>
      <w:sz w:val="32"/>
    </w:rPr>
  </w:style>
  <w:style w:type="paragraph" w:customStyle="1" w:styleId="HeadingProcedure">
    <w:name w:val="Heading Procedure"/>
    <w:basedOn w:val="HeadingBase"/>
    <w:next w:val="Normal"/>
    <w:rsid w:val="00C856AB"/>
    <w:pPr>
      <w:tabs>
        <w:tab w:val="left" w:pos="0"/>
      </w:tabs>
      <w:spacing w:before="120" w:after="60"/>
    </w:pPr>
    <w:rPr>
      <w:i/>
      <w:color w:val="918585"/>
      <w:sz w:val="22"/>
    </w:rPr>
  </w:style>
  <w:style w:type="paragraph" w:customStyle="1" w:styleId="TableBodyText">
    <w:name w:val="Table Body Text"/>
    <w:basedOn w:val="BodyText"/>
    <w:rsid w:val="00C856AB"/>
    <w:pPr>
      <w:spacing w:before="60" w:after="60"/>
    </w:pPr>
  </w:style>
  <w:style w:type="paragraph" w:styleId="ListContinue">
    <w:name w:val="List Continue"/>
    <w:basedOn w:val="List"/>
    <w:rsid w:val="00C856AB"/>
    <w:pPr>
      <w:ind w:firstLine="0"/>
    </w:pPr>
  </w:style>
  <w:style w:type="paragraph" w:customStyle="1" w:styleId="ListNote">
    <w:name w:val="List Note"/>
    <w:basedOn w:val="List"/>
    <w:rsid w:val="00C856AB"/>
    <w:pPr>
      <w:pBdr>
        <w:top w:val="single" w:sz="6" w:space="2" w:color="918585"/>
        <w:bottom w:val="single" w:sz="6" w:space="2" w:color="918585"/>
      </w:pBdr>
      <w:tabs>
        <w:tab w:val="left" w:pos="1021"/>
      </w:tabs>
      <w:ind w:firstLine="0"/>
    </w:pPr>
  </w:style>
  <w:style w:type="paragraph" w:customStyle="1" w:styleId="Warning">
    <w:name w:val="Warning"/>
    <w:basedOn w:val="BodyText"/>
    <w:rsid w:val="00C856AB"/>
    <w:pPr>
      <w:shd w:val="clear" w:color="auto" w:fill="D9D9D9"/>
      <w:tabs>
        <w:tab w:val="left" w:pos="992"/>
      </w:tabs>
      <w:ind w:left="119" w:right="119"/>
    </w:pPr>
    <w:rPr>
      <w:sz w:val="20"/>
    </w:rPr>
  </w:style>
  <w:style w:type="paragraph" w:customStyle="1" w:styleId="MarginIcons">
    <w:name w:val="Margin Icons"/>
    <w:basedOn w:val="BodyText"/>
    <w:rsid w:val="00C856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6AB"/>
    <w:rPr>
      <w:rFonts w:ascii="Courier New" w:hAnsi="Courier New"/>
    </w:rPr>
  </w:style>
  <w:style w:type="paragraph" w:customStyle="1" w:styleId="NoteBullet">
    <w:name w:val="Note Bullet"/>
    <w:basedOn w:val="Note"/>
    <w:rsid w:val="00C856AB"/>
    <w:pPr>
      <w:tabs>
        <w:tab w:val="clear" w:pos="680"/>
      </w:tabs>
      <w:spacing w:before="60" w:after="60"/>
    </w:pPr>
  </w:style>
  <w:style w:type="paragraph" w:customStyle="1" w:styleId="SubHeading2">
    <w:name w:val="SubHeading2"/>
    <w:basedOn w:val="HeadingBase"/>
    <w:rsid w:val="00C856AB"/>
    <w:pPr>
      <w:spacing w:before="240" w:after="60"/>
    </w:pPr>
    <w:rPr>
      <w:sz w:val="20"/>
    </w:rPr>
  </w:style>
  <w:style w:type="paragraph" w:customStyle="1" w:styleId="SubHeading1">
    <w:name w:val="SubHeading1"/>
    <w:basedOn w:val="HeadingBase"/>
    <w:rsid w:val="00C856AB"/>
    <w:pPr>
      <w:spacing w:before="240" w:after="60"/>
    </w:pPr>
    <w:rPr>
      <w:color w:val="918585"/>
      <w:sz w:val="22"/>
    </w:rPr>
  </w:style>
  <w:style w:type="paragraph" w:customStyle="1" w:styleId="SideHeading">
    <w:name w:val="Side Heading"/>
    <w:basedOn w:val="HeadingBase"/>
    <w:rsid w:val="00C856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6AB"/>
    <w:pPr>
      <w:numPr>
        <w:numId w:val="10"/>
      </w:numPr>
    </w:pPr>
  </w:style>
  <w:style w:type="paragraph" w:styleId="PlainText">
    <w:name w:val="Plain Text"/>
    <w:basedOn w:val="Normal"/>
    <w:link w:val="PlainTextChar"/>
    <w:rsid w:val="00C856AB"/>
    <w:rPr>
      <w:sz w:val="20"/>
    </w:rPr>
  </w:style>
  <w:style w:type="character" w:customStyle="1" w:styleId="PlainTextChar">
    <w:name w:val="Plain Text Char"/>
    <w:basedOn w:val="DefaultParagraphFont"/>
    <w:link w:val="PlainText"/>
    <w:rsid w:val="00C856AB"/>
    <w:rPr>
      <w:rFonts w:ascii="Courier New" w:eastAsia="Times New Roman" w:hAnsi="Courier New" w:cs="Times New Roman"/>
      <w:sz w:val="20"/>
      <w:szCs w:val="20"/>
      <w:lang w:eastAsia="en-US"/>
    </w:rPr>
  </w:style>
  <w:style w:type="character" w:customStyle="1" w:styleId="MenuOption">
    <w:name w:val="Menu Option"/>
    <w:basedOn w:val="DefaultParagraphFont"/>
    <w:rsid w:val="00C856AB"/>
    <w:rPr>
      <w:b/>
      <w:smallCaps/>
    </w:rPr>
  </w:style>
  <w:style w:type="paragraph" w:customStyle="1" w:styleId="TableListNumber">
    <w:name w:val="Table List Number"/>
    <w:basedOn w:val="ListNumber"/>
    <w:rsid w:val="00C856AB"/>
    <w:pPr>
      <w:numPr>
        <w:numId w:val="0"/>
      </w:numPr>
    </w:pPr>
  </w:style>
  <w:style w:type="paragraph" w:styleId="TOC4">
    <w:name w:val="toc 4"/>
    <w:basedOn w:val="TOCBase"/>
    <w:next w:val="Normal"/>
    <w:semiHidden/>
    <w:rsid w:val="00C856AB"/>
    <w:pPr>
      <w:tabs>
        <w:tab w:val="right" w:leader="dot" w:pos="9071"/>
      </w:tabs>
      <w:ind w:left="1701"/>
    </w:pPr>
  </w:style>
  <w:style w:type="paragraph" w:customStyle="1" w:styleId="ListAlpha">
    <w:name w:val="List Alpha"/>
    <w:basedOn w:val="List"/>
    <w:rsid w:val="00C856AB"/>
    <w:pPr>
      <w:numPr>
        <w:numId w:val="8"/>
      </w:numPr>
    </w:pPr>
  </w:style>
  <w:style w:type="paragraph" w:customStyle="1" w:styleId="ListAlpha2">
    <w:name w:val="List Alpha 2"/>
    <w:basedOn w:val="List2"/>
    <w:rsid w:val="00C856AB"/>
    <w:pPr>
      <w:numPr>
        <w:numId w:val="7"/>
      </w:numPr>
    </w:pPr>
  </w:style>
  <w:style w:type="paragraph" w:styleId="List2">
    <w:name w:val="List 2"/>
    <w:basedOn w:val="BodyText"/>
    <w:rsid w:val="00C856AB"/>
    <w:pPr>
      <w:tabs>
        <w:tab w:val="left" w:pos="680"/>
      </w:tabs>
      <w:spacing w:before="60" w:after="60"/>
      <w:ind w:left="680" w:hanging="340"/>
    </w:pPr>
  </w:style>
  <w:style w:type="paragraph" w:styleId="List3">
    <w:name w:val="List 3"/>
    <w:basedOn w:val="BodyText"/>
    <w:rsid w:val="00C856AB"/>
    <w:pPr>
      <w:tabs>
        <w:tab w:val="left" w:pos="1021"/>
      </w:tabs>
      <w:spacing w:before="60" w:after="60"/>
      <w:ind w:left="1020" w:hanging="340"/>
    </w:pPr>
  </w:style>
  <w:style w:type="paragraph" w:styleId="List4">
    <w:name w:val="List 4"/>
    <w:basedOn w:val="BodyText"/>
    <w:rsid w:val="00C856AB"/>
    <w:pPr>
      <w:tabs>
        <w:tab w:val="left" w:pos="1361"/>
      </w:tabs>
      <w:spacing w:before="60" w:after="60"/>
      <w:ind w:left="1361" w:hanging="340"/>
    </w:pPr>
  </w:style>
  <w:style w:type="paragraph" w:styleId="List5">
    <w:name w:val="List 5"/>
    <w:basedOn w:val="BodyText"/>
    <w:rsid w:val="00C856AB"/>
    <w:pPr>
      <w:tabs>
        <w:tab w:val="left" w:pos="1701"/>
      </w:tabs>
      <w:spacing w:before="60" w:after="60"/>
      <w:ind w:left="1701" w:hanging="340"/>
    </w:pPr>
  </w:style>
  <w:style w:type="paragraph" w:styleId="ListBullet3">
    <w:name w:val="List Bullet 3"/>
    <w:basedOn w:val="List3"/>
    <w:rsid w:val="00C856AB"/>
    <w:pPr>
      <w:numPr>
        <w:numId w:val="13"/>
      </w:numPr>
      <w:tabs>
        <w:tab w:val="clear" w:pos="1021"/>
      </w:tabs>
      <w:ind w:left="1037" w:hanging="357"/>
    </w:pPr>
  </w:style>
  <w:style w:type="paragraph" w:styleId="ListBullet4">
    <w:name w:val="List Bullet 4"/>
    <w:basedOn w:val="List4"/>
    <w:rsid w:val="00C856AB"/>
    <w:pPr>
      <w:numPr>
        <w:numId w:val="2"/>
      </w:numPr>
      <w:tabs>
        <w:tab w:val="clear" w:pos="1361"/>
      </w:tabs>
    </w:pPr>
  </w:style>
  <w:style w:type="paragraph" w:styleId="ListBullet5">
    <w:name w:val="List Bullet 5"/>
    <w:basedOn w:val="List5"/>
    <w:rsid w:val="00C856AB"/>
    <w:pPr>
      <w:numPr>
        <w:numId w:val="3"/>
      </w:numPr>
    </w:pPr>
  </w:style>
  <w:style w:type="paragraph" w:styleId="ListContinue2">
    <w:name w:val="List Continue 2"/>
    <w:basedOn w:val="List2"/>
    <w:rsid w:val="00C856AB"/>
    <w:pPr>
      <w:ind w:firstLine="0"/>
    </w:pPr>
  </w:style>
  <w:style w:type="paragraph" w:styleId="ListContinue3">
    <w:name w:val="List Continue 3"/>
    <w:basedOn w:val="List3"/>
    <w:rsid w:val="00C856AB"/>
    <w:pPr>
      <w:ind w:left="1021" w:firstLine="0"/>
    </w:pPr>
  </w:style>
  <w:style w:type="paragraph" w:styleId="ListContinue4">
    <w:name w:val="List Continue 4"/>
    <w:basedOn w:val="List4"/>
    <w:rsid w:val="00C856AB"/>
    <w:pPr>
      <w:ind w:firstLine="0"/>
    </w:pPr>
  </w:style>
  <w:style w:type="paragraph" w:styleId="ListContinue5">
    <w:name w:val="List Continue 5"/>
    <w:basedOn w:val="List5"/>
    <w:rsid w:val="00C856AB"/>
    <w:pPr>
      <w:ind w:firstLine="0"/>
    </w:pPr>
  </w:style>
  <w:style w:type="paragraph" w:styleId="ListNumber3">
    <w:name w:val="List Number 3"/>
    <w:basedOn w:val="List3"/>
    <w:rsid w:val="00C856AB"/>
    <w:pPr>
      <w:numPr>
        <w:numId w:val="4"/>
      </w:numPr>
    </w:pPr>
  </w:style>
  <w:style w:type="paragraph" w:styleId="ListNumber4">
    <w:name w:val="List Number 4"/>
    <w:basedOn w:val="List4"/>
    <w:rsid w:val="00C856AB"/>
    <w:pPr>
      <w:numPr>
        <w:numId w:val="5"/>
      </w:numPr>
    </w:pPr>
  </w:style>
  <w:style w:type="paragraph" w:styleId="ListNumber5">
    <w:name w:val="List Number 5"/>
    <w:basedOn w:val="List5"/>
    <w:rsid w:val="00C856AB"/>
    <w:pPr>
      <w:numPr>
        <w:numId w:val="6"/>
      </w:numPr>
    </w:pPr>
  </w:style>
  <w:style w:type="paragraph" w:styleId="BlockText">
    <w:name w:val="Block Text"/>
    <w:basedOn w:val="Normal"/>
    <w:rsid w:val="00C856AB"/>
    <w:pPr>
      <w:spacing w:after="120"/>
      <w:ind w:left="1440" w:right="1440"/>
    </w:pPr>
  </w:style>
  <w:style w:type="character" w:customStyle="1" w:styleId="Subscript">
    <w:name w:val="Subscript"/>
    <w:basedOn w:val="DefaultParagraphFont"/>
    <w:rsid w:val="00C856AB"/>
    <w:rPr>
      <w:sz w:val="16"/>
      <w:vertAlign w:val="subscript"/>
    </w:rPr>
  </w:style>
  <w:style w:type="character" w:customStyle="1" w:styleId="Superscript">
    <w:name w:val="Superscript"/>
    <w:basedOn w:val="DefaultParagraphFont"/>
    <w:rsid w:val="00C856AB"/>
    <w:rPr>
      <w:sz w:val="16"/>
      <w:vertAlign w:val="superscript"/>
    </w:rPr>
  </w:style>
  <w:style w:type="character" w:customStyle="1" w:styleId="Symbols">
    <w:name w:val="Symbols"/>
    <w:basedOn w:val="DefaultParagraphFont"/>
    <w:rsid w:val="00C856AB"/>
    <w:rPr>
      <w:rFonts w:ascii="Symbol" w:hAnsi="Symbol"/>
    </w:rPr>
  </w:style>
  <w:style w:type="character" w:customStyle="1" w:styleId="MenuOptions">
    <w:name w:val="Menu Options"/>
    <w:basedOn w:val="DefaultParagraphFont"/>
    <w:rsid w:val="00C856AB"/>
    <w:rPr>
      <w:rFonts w:ascii="Arial Narrow" w:hAnsi="Arial Narrow"/>
      <w:smallCaps/>
    </w:rPr>
  </w:style>
  <w:style w:type="character" w:customStyle="1" w:styleId="Buttons">
    <w:name w:val="Buttons"/>
    <w:basedOn w:val="DefaultParagraphFont"/>
    <w:rsid w:val="00C856AB"/>
    <w:rPr>
      <w:b/>
    </w:rPr>
  </w:style>
  <w:style w:type="character" w:customStyle="1" w:styleId="Underlined">
    <w:name w:val="Underlined"/>
    <w:basedOn w:val="DefaultParagraphFont"/>
    <w:rsid w:val="00C856AB"/>
    <w:rPr>
      <w:u w:val="single"/>
    </w:rPr>
  </w:style>
  <w:style w:type="paragraph" w:customStyle="1" w:styleId="TableBodyTextRight">
    <w:name w:val="Table Body Text Right"/>
    <w:basedOn w:val="TableBodyText"/>
    <w:rsid w:val="00C856AB"/>
    <w:pPr>
      <w:widowControl w:val="0"/>
      <w:autoSpaceDE w:val="0"/>
      <w:autoSpaceDN w:val="0"/>
      <w:adjustRightInd w:val="0"/>
      <w:jc w:val="right"/>
    </w:pPr>
    <w:rPr>
      <w:rFonts w:cs="Arial"/>
      <w:szCs w:val="18"/>
    </w:rPr>
  </w:style>
  <w:style w:type="paragraph" w:customStyle="1" w:styleId="CopyrightText">
    <w:name w:val="Copyright Text"/>
    <w:basedOn w:val="BodyText"/>
    <w:rsid w:val="00C856AB"/>
    <w:rPr>
      <w:sz w:val="18"/>
    </w:rPr>
  </w:style>
  <w:style w:type="paragraph" w:customStyle="1" w:styleId="BodySmallRight">
    <w:name w:val="Body Small Right"/>
    <w:basedOn w:val="BodyTextRight"/>
    <w:rsid w:val="00C856AB"/>
    <w:rPr>
      <w:sz w:val="18"/>
      <w:szCs w:val="18"/>
    </w:rPr>
  </w:style>
  <w:style w:type="paragraph" w:customStyle="1" w:styleId="MarginEdition">
    <w:name w:val="Margin Edition"/>
    <w:basedOn w:val="MarginNote"/>
    <w:rsid w:val="00C856AB"/>
    <w:pPr>
      <w:spacing w:before="0" w:after="0"/>
    </w:pPr>
    <w:rPr>
      <w:rFonts w:ascii="Times New Roman" w:hAnsi="Times New Roman"/>
      <w:color w:val="999999"/>
    </w:rPr>
  </w:style>
  <w:style w:type="paragraph" w:customStyle="1" w:styleId="Spacer">
    <w:name w:val="Spacer"/>
    <w:basedOn w:val="Normal"/>
    <w:rsid w:val="00C856AB"/>
    <w:rPr>
      <w:sz w:val="2"/>
      <w:szCs w:val="2"/>
    </w:rPr>
  </w:style>
  <w:style w:type="character" w:customStyle="1" w:styleId="Small">
    <w:name w:val="Small"/>
    <w:basedOn w:val="DefaultParagraphFont"/>
    <w:rsid w:val="00C856AB"/>
    <w:rPr>
      <w:sz w:val="16"/>
    </w:rPr>
  </w:style>
  <w:style w:type="paragraph" w:customStyle="1" w:styleId="WideTable">
    <w:name w:val="Wide Table"/>
    <w:basedOn w:val="Normal"/>
    <w:rsid w:val="00C856AB"/>
    <w:pPr>
      <w:ind w:left="-1418"/>
    </w:pPr>
    <w:rPr>
      <w:sz w:val="2"/>
      <w:szCs w:val="2"/>
    </w:rPr>
  </w:style>
  <w:style w:type="character" w:styleId="PageNumber">
    <w:name w:val="page number"/>
    <w:basedOn w:val="DefaultParagraphFont"/>
    <w:rsid w:val="00C856AB"/>
  </w:style>
  <w:style w:type="paragraph" w:styleId="Quote">
    <w:name w:val="Quote"/>
    <w:basedOn w:val="Heading1"/>
    <w:link w:val="QuoteChar"/>
    <w:qFormat/>
    <w:rsid w:val="00C856AB"/>
    <w:rPr>
      <w:b w:val="0"/>
      <w:sz w:val="72"/>
      <w:szCs w:val="72"/>
      <w:lang w:val="en-NZ"/>
    </w:rPr>
  </w:style>
  <w:style w:type="character" w:customStyle="1" w:styleId="QuoteChar">
    <w:name w:val="Quote Char"/>
    <w:basedOn w:val="DefaultParagraphFont"/>
    <w:link w:val="Quote"/>
    <w:rsid w:val="00C856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6AB"/>
    <w:pPr>
      <w:pageBreakBefore/>
    </w:pPr>
  </w:style>
  <w:style w:type="paragraph" w:customStyle="1" w:styleId="Border">
    <w:name w:val="Border"/>
    <w:basedOn w:val="Normal"/>
    <w:qFormat/>
    <w:rsid w:val="00C856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6AB"/>
    <w:rPr>
      <w:b/>
      <w:bCs/>
      <w:i/>
      <w:iCs/>
      <w:color w:val="auto"/>
    </w:rPr>
  </w:style>
  <w:style w:type="paragraph" w:styleId="IntenseQuote">
    <w:name w:val="Intense Quote"/>
    <w:basedOn w:val="Normal"/>
    <w:next w:val="Normal"/>
    <w:link w:val="IntenseQuoteChar"/>
    <w:uiPriority w:val="30"/>
    <w:qFormat/>
    <w:rsid w:val="00C856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6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6AB"/>
    <w:rPr>
      <w:smallCaps/>
      <w:color w:val="auto"/>
      <w:u w:val="single"/>
    </w:rPr>
  </w:style>
  <w:style w:type="character" w:styleId="IntenseReference">
    <w:name w:val="Intense Reference"/>
    <w:basedOn w:val="DefaultParagraphFont"/>
    <w:uiPriority w:val="32"/>
    <w:qFormat/>
    <w:rsid w:val="00C856AB"/>
    <w:rPr>
      <w:b/>
      <w:bCs/>
      <w:smallCaps/>
      <w:color w:val="auto"/>
      <w:spacing w:val="5"/>
      <w:u w:val="single"/>
    </w:rPr>
  </w:style>
  <w:style w:type="paragraph" w:customStyle="1" w:styleId="2ColumnHeading">
    <w:name w:val="2Column Heading"/>
    <w:basedOn w:val="BodyText"/>
    <w:qFormat/>
    <w:rsid w:val="00C856AB"/>
    <w:pPr>
      <w:spacing w:after="60"/>
      <w:ind w:left="-2268"/>
    </w:pPr>
    <w:rPr>
      <w:b/>
    </w:rPr>
  </w:style>
  <w:style w:type="paragraph" w:customStyle="1" w:styleId="Heading1TOC">
    <w:name w:val="Heading1 TOC"/>
    <w:basedOn w:val="Normal"/>
    <w:qFormat/>
    <w:rsid w:val="00C856AB"/>
    <w:pPr>
      <w:spacing w:before="240" w:after="120"/>
    </w:pPr>
    <w:rPr>
      <w:rFonts w:ascii="Times New Roman" w:hAnsi="Times New Roman"/>
      <w:b/>
      <w:sz w:val="32"/>
    </w:rPr>
  </w:style>
  <w:style w:type="paragraph" w:customStyle="1" w:styleId="Heading2TOC">
    <w:name w:val="Heading2 TOC"/>
    <w:basedOn w:val="Normal"/>
    <w:qFormat/>
    <w:rsid w:val="00C856AB"/>
    <w:pPr>
      <w:spacing w:before="240" w:after="60"/>
    </w:pPr>
    <w:rPr>
      <w:rFonts w:ascii="Times New Roman" w:hAnsi="Times New Roman"/>
      <w:b/>
      <w:sz w:val="28"/>
    </w:rPr>
  </w:style>
  <w:style w:type="character" w:customStyle="1" w:styleId="Underline">
    <w:name w:val="Underline"/>
    <w:basedOn w:val="DefaultParagraphFont"/>
    <w:qFormat/>
    <w:rsid w:val="00C856AB"/>
    <w:rPr>
      <w:u w:val="single"/>
    </w:rPr>
  </w:style>
  <w:style w:type="character" w:customStyle="1" w:styleId="BoldandItalics">
    <w:name w:val="Bold and Italics"/>
    <w:qFormat/>
    <w:rsid w:val="00C856AB"/>
    <w:rPr>
      <w:b/>
      <w:i/>
      <w:u w:val="none"/>
    </w:rPr>
  </w:style>
  <w:style w:type="paragraph" w:styleId="BalloonText">
    <w:name w:val="Balloon Text"/>
    <w:basedOn w:val="Normal"/>
    <w:link w:val="BalloonTextChar"/>
    <w:rsid w:val="00C856AB"/>
    <w:rPr>
      <w:rFonts w:ascii="Tahoma" w:hAnsi="Tahoma" w:cs="Tahoma"/>
      <w:sz w:val="16"/>
      <w:szCs w:val="16"/>
    </w:rPr>
  </w:style>
  <w:style w:type="character" w:customStyle="1" w:styleId="BalloonTextChar">
    <w:name w:val="Balloon Text Char"/>
    <w:basedOn w:val="DefaultParagraphFont"/>
    <w:link w:val="BalloonText"/>
    <w:rsid w:val="00C856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6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6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6AB"/>
    <w:rPr>
      <w:b/>
      <w:color w:val="660033"/>
      <w:spacing w:val="0"/>
    </w:rPr>
  </w:style>
  <w:style w:type="paragraph" w:customStyle="1" w:styleId="Nameditemlist">
    <w:name w:val="Named item list"/>
    <w:basedOn w:val="BodyText"/>
    <w:qFormat/>
    <w:rsid w:val="00C856AB"/>
    <w:pPr>
      <w:tabs>
        <w:tab w:val="left" w:pos="2835"/>
      </w:tabs>
      <w:ind w:left="2835" w:hanging="2835"/>
    </w:pPr>
  </w:style>
  <w:style w:type="paragraph" w:customStyle="1" w:styleId="BodyTextnopadding">
    <w:name w:val="Body Text no padding"/>
    <w:basedOn w:val="BodyText"/>
    <w:qFormat/>
    <w:rsid w:val="00C856AB"/>
    <w:pPr>
      <w:spacing w:before="0" w:after="0"/>
    </w:pPr>
  </w:style>
  <w:style w:type="paragraph" w:customStyle="1" w:styleId="BodyTextBold">
    <w:name w:val="Body Text Bold"/>
    <w:basedOn w:val="BodyText"/>
    <w:qFormat/>
    <w:rsid w:val="00C856AB"/>
    <w:rPr>
      <w:b/>
    </w:rPr>
  </w:style>
  <w:style w:type="character" w:styleId="Hyperlink">
    <w:name w:val="Hyperlink"/>
    <w:basedOn w:val="DefaultParagraphFont"/>
    <w:uiPriority w:val="99"/>
    <w:unhideWhenUsed/>
    <w:rsid w:val="00D47A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4680</Characters>
  <Application>Microsoft Office Word</Application>
  <DocSecurity>0</DocSecurity>
  <Lines>246</Lines>
  <Paragraphs>132</Paragraphs>
  <ScaleCrop>false</ScaleCrop>
  <Company>Author-it Software Corporation Ltd.</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MSS403032 Analyse manual handling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2025-02-21T07:22:00Z</dcterms:created>
  <dcterms:modified xsi:type="dcterms:W3CDTF">2025-02-21T07:22:00Z</dcterms:modified>
</cp:coreProperties>
</file>