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70D3" w:rsidP="003770D3">
      <w:pPr>
        <w:pStyle w:val="Title"/>
      </w:pPr>
      <w:r>
        <w:fldChar w:fldCharType="begin"/>
      </w:r>
      <w:r>
        <w:instrText xml:space="preserve"> TITLE   \* MERGEFORMAT </w:instrText>
      </w:r>
      <w:r>
        <w:fldChar w:fldCharType="separate"/>
      </w:r>
      <w:r>
        <w:t>MSS403032 Analyse manual handling processes</w:t>
      </w:r>
      <w:r>
        <w:fldChar w:fldCharType="end"/>
      </w:r>
    </w:p>
    <w:p w:rsidR="003770D3" w:rsidP="003770D3">
      <w:pPr>
        <w:pStyle w:val="Version"/>
        <w:sectPr w:rsidSect="00424F1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24F1B" w:rsidP="00424F1B">
      <w:pPr>
        <w:pStyle w:val="SuperHeading"/>
      </w:pPr>
      <w:r w:rsidRPr="00424F1B">
        <w:t>MSS403032 Analyse manual handling processes</w:t>
      </w:r>
    </w:p>
    <w:p w:rsidR="00000000" w:rsidRPr="00424F1B" w:rsidP="00424F1B">
      <w:pPr>
        <w:pStyle w:val="Heading1"/>
      </w:pPr>
      <w:bookmarkStart w:id="1" w:name="O_920587"/>
      <w:bookmarkEnd w:id="1"/>
      <w:r w:rsidRPr="00424F1B">
        <w:t>Modification History</w:t>
      </w:r>
    </w:p>
    <w:p w:rsidR="00000000" w:rsidRPr="00424F1B" w:rsidP="003770D3">
      <w:pPr>
        <w:pStyle w:val="BodyText"/>
      </w:pPr>
      <w:r w:rsidRPr="00424F1B">
        <w:t>Release 1. Supersedes and is equivalent to MSS403032A Analyse manual handling processes</w:t>
      </w:r>
    </w:p>
    <w:p w:rsidR="00000000" w:rsidRPr="00424F1B" w:rsidP="00424F1B">
      <w:pPr>
        <w:pStyle w:val="Heading1"/>
      </w:pPr>
      <w:bookmarkStart w:id="2" w:name="O_920595"/>
      <w:bookmarkEnd w:id="2"/>
      <w:r w:rsidRPr="00424F1B">
        <w:t>Application</w:t>
      </w:r>
    </w:p>
    <w:p w:rsidR="00000000" w:rsidRPr="00424F1B" w:rsidP="003770D3">
      <w:pPr>
        <w:pStyle w:val="BodyText"/>
      </w:pPr>
      <w:r w:rsidRPr="00424F1B">
        <w:t>This unit of competency covers the skills and knowledge required to analyse manual handling in terms of its efficiency</w:t>
      </w:r>
      <w:r w:rsidRPr="00424F1B">
        <w:t xml:space="preserve"> and safety. </w:t>
      </w:r>
    </w:p>
    <w:p w:rsidR="00000000" w:rsidRPr="00424F1B" w:rsidP="003770D3">
      <w:pPr>
        <w:pStyle w:val="BodyText"/>
      </w:pPr>
      <w:r w:rsidRPr="00424F1B">
        <w:t xml:space="preserve">This unit applies to an individual who is required to examine the manual handling component of a job and improve it in terms of safety, effort required and efficiency. This may be conducted for a job performed by others or it may be for the </w:t>
      </w:r>
      <w:r w:rsidRPr="00424F1B">
        <w:t>person</w:t>
      </w:r>
      <w:r>
        <w:t>’</w:t>
      </w:r>
      <w:r w:rsidRPr="00424F1B">
        <w:t>s own job.</w:t>
      </w:r>
    </w:p>
    <w:p w:rsidR="00000000" w:rsidRPr="00424F1B" w:rsidP="003770D3">
      <w:pPr>
        <w:pStyle w:val="BodyText"/>
      </w:pPr>
      <w:r w:rsidRPr="00424F1B">
        <w:t xml:space="preserve">This unit primarily requires the application of skills associated with problem solving, initiative and enterprise to identify safe and efficient manual handling, and planning and organising to ensure processes are implemented. This unit </w:t>
      </w:r>
      <w:r w:rsidRPr="00424F1B">
        <w:t>also requires communication with, and involvement of, others to ensure they understand the approach and to facilitate training.</w:t>
      </w:r>
    </w:p>
    <w:p w:rsidR="00000000" w:rsidRPr="00424F1B" w:rsidP="003770D3">
      <w:pPr>
        <w:pStyle w:val="BodyText"/>
      </w:pPr>
      <w:r w:rsidRPr="00424F1B">
        <w:t>No licensing, legislative or certification requirements apply to this unit at the time of publication.</w:t>
      </w:r>
    </w:p>
    <w:p w:rsidR="00000000" w:rsidRPr="00424F1B" w:rsidP="00424F1B">
      <w:pPr>
        <w:pStyle w:val="Heading1"/>
      </w:pPr>
      <w:bookmarkStart w:id="3" w:name="O_920594"/>
      <w:bookmarkEnd w:id="3"/>
      <w:r w:rsidRPr="00424F1B">
        <w:t>Pre-req</w:t>
      </w:r>
      <w:r w:rsidRPr="00424F1B">
        <w:t>uisite Unit</w:t>
      </w:r>
    </w:p>
    <w:p w:rsidR="00000000" w:rsidRPr="00424F1B" w:rsidP="003770D3">
      <w:pPr>
        <w:pStyle w:val="BodyText"/>
      </w:pPr>
      <w:r w:rsidRPr="00424F1B">
        <w:t>Nil</w:t>
      </w:r>
    </w:p>
    <w:p w:rsidR="00000000" w:rsidRPr="00424F1B" w:rsidP="00424F1B">
      <w:pPr>
        <w:pStyle w:val="Heading1"/>
      </w:pPr>
      <w:bookmarkStart w:id="4" w:name="O_920593"/>
      <w:bookmarkEnd w:id="4"/>
      <w:r w:rsidRPr="00424F1B">
        <w:t>Competency Field</w:t>
      </w:r>
    </w:p>
    <w:p w:rsidR="00000000" w:rsidRPr="00424F1B" w:rsidP="003770D3">
      <w:pPr>
        <w:pStyle w:val="BodyText"/>
      </w:pPr>
      <w:r w:rsidRPr="00424F1B">
        <w:t>Competitive systems and practices</w:t>
      </w:r>
    </w:p>
    <w:p w:rsidR="00000000" w:rsidRPr="00424F1B" w:rsidP="00424F1B">
      <w:pPr>
        <w:pStyle w:val="Heading1"/>
      </w:pPr>
      <w:bookmarkStart w:id="5" w:name="O_920592"/>
      <w:bookmarkEnd w:id="5"/>
      <w:r w:rsidRPr="00424F1B">
        <w:t>Unit Sector</w:t>
      </w:r>
    </w:p>
    <w:p w:rsidR="00000000" w:rsidRPr="00424F1B" w:rsidP="003770D3">
      <w:pPr>
        <w:pStyle w:val="BodyText"/>
      </w:pPr>
      <w:r w:rsidRPr="00424F1B">
        <w:t>Not applicable</w:t>
      </w:r>
    </w:p>
    <w:p w:rsidR="00000000" w:rsidRPr="00424F1B" w:rsidP="00424F1B">
      <w:pPr>
        <w:pStyle w:val="Heading1"/>
      </w:pPr>
      <w:bookmarkStart w:id="6" w:name="O_920591"/>
      <w:bookmarkEnd w:id="6"/>
      <w:r w:rsidRPr="00424F1B">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424F1B">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424F1B">
            <w:pPr>
              <w:pStyle w:val="BodyText"/>
              <w:rPr>
                <w:lang w:val="en-NZ"/>
              </w:rPr>
            </w:pPr>
            <w:r w:rsidRPr="00424F1B">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424F1B">
            <w:pPr>
              <w:pStyle w:val="BodyText"/>
              <w:rPr>
                <w:lang w:val="en-NZ"/>
              </w:rPr>
            </w:pPr>
            <w:r w:rsidRPr="00424F1B">
              <w:t xml:space="preserve">Performance criteria describe the </w:t>
            </w:r>
            <w:r w:rsidRPr="00424F1B">
              <w:t>performance needed to demonstrate achievement of the element.</w:t>
            </w:r>
          </w:p>
        </w:tc>
      </w:tr>
      <w:tr w:rsidTr="00424F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24F1B" w:rsidP="00424F1B">
            <w:pPr>
              <w:pStyle w:val="BodyText"/>
            </w:pPr>
            <w:r w:rsidRPr="00424F1B">
              <w:t>1</w:t>
            </w:r>
          </w:p>
        </w:tc>
        <w:tc>
          <w:tcPr>
            <w:tcW w:w="1962" w:type="dxa"/>
            <w:vMerge w:val="restart"/>
            <w:tcBorders>
              <w:top w:val="nil"/>
              <w:left w:val="nil"/>
              <w:bottom w:val="nil"/>
              <w:right w:val="nil"/>
            </w:tcBorders>
            <w:tcMar>
              <w:top w:w="0" w:type="dxa"/>
              <w:left w:w="62" w:type="dxa"/>
              <w:bottom w:w="0" w:type="dxa"/>
              <w:right w:w="62" w:type="dxa"/>
            </w:tcMar>
          </w:tcPr>
          <w:p w:rsidR="00000000" w:rsidP="00424F1B">
            <w:pPr>
              <w:pStyle w:val="BodyText"/>
              <w:rPr>
                <w:lang w:val="en-NZ"/>
              </w:rPr>
            </w:pPr>
            <w:r w:rsidRPr="00424F1B">
              <w:rPr>
                <w:rStyle w:val="SpecialBold"/>
              </w:rPr>
              <w:t xml:space="preserve">Assess manual </w:t>
            </w:r>
            <w:r w:rsidRPr="00424F1B">
              <w:rPr>
                <w:rStyle w:val="SpecialBold"/>
              </w:rPr>
              <w:t>handling risks</w:t>
            </w:r>
          </w:p>
        </w:tc>
        <w:tc>
          <w:tcPr>
            <w:tcW w:w="770" w:type="dxa"/>
            <w:tcBorders>
              <w:top w:val="nil"/>
              <w:left w:val="nil"/>
              <w:bottom w:val="nil"/>
              <w:right w:val="nil"/>
            </w:tcBorders>
            <w:tcMar>
              <w:top w:w="0" w:type="dxa"/>
              <w:left w:w="62" w:type="dxa"/>
              <w:bottom w:w="0" w:type="dxa"/>
              <w:right w:w="62" w:type="dxa"/>
            </w:tcMar>
          </w:tcPr>
          <w:p w:rsidR="00000000" w:rsidP="00424F1B">
            <w:pPr>
              <w:pStyle w:val="BodyText"/>
              <w:rPr>
                <w:lang w:val="en-NZ"/>
              </w:rPr>
            </w:pPr>
            <w:r w:rsidRPr="00424F1B">
              <w:t>1.1</w:t>
            </w:r>
          </w:p>
        </w:tc>
        <w:tc>
          <w:tcPr>
            <w:tcW w:w="5610" w:type="dxa"/>
            <w:tcBorders>
              <w:top w:val="nil"/>
              <w:left w:val="nil"/>
              <w:bottom w:val="nil"/>
              <w:right w:val="nil"/>
            </w:tcBorders>
            <w:tcMar>
              <w:top w:w="0" w:type="dxa"/>
              <w:left w:w="62" w:type="dxa"/>
              <w:bottom w:w="0" w:type="dxa"/>
              <w:right w:w="62" w:type="dxa"/>
            </w:tcMar>
          </w:tcPr>
          <w:p w:rsidR="00000000" w:rsidP="00424F1B">
            <w:pPr>
              <w:pStyle w:val="BodyText"/>
              <w:rPr>
                <w:lang w:val="en-NZ"/>
              </w:rPr>
            </w:pPr>
            <w:r w:rsidRPr="00424F1B">
              <w:t>Identify manual handling hazards in work area.</w:t>
            </w:r>
          </w:p>
        </w:tc>
      </w:tr>
      <w:tr w:rsidTr="00424F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4F1B">
            <w:pPr>
              <w:pStyle w:val="BodyText"/>
              <w:rPr>
                <w:lang w:val="en-NZ"/>
              </w:rPr>
            </w:pPr>
            <w:r w:rsidRPr="00424F1B">
              <w:t>1.2</w:t>
            </w:r>
          </w:p>
        </w:tc>
        <w:tc>
          <w:tcPr>
            <w:tcW w:w="5610" w:type="dxa"/>
            <w:tcBorders>
              <w:top w:val="nil"/>
              <w:left w:val="nil"/>
              <w:bottom w:val="nil"/>
              <w:right w:val="nil"/>
            </w:tcBorders>
            <w:tcMar>
              <w:top w:w="0" w:type="dxa"/>
              <w:left w:w="62" w:type="dxa"/>
              <w:bottom w:w="0" w:type="dxa"/>
              <w:right w:w="62" w:type="dxa"/>
            </w:tcMar>
          </w:tcPr>
          <w:p w:rsidR="00000000" w:rsidP="00424F1B">
            <w:pPr>
              <w:pStyle w:val="BodyText"/>
              <w:rPr>
                <w:lang w:val="en-NZ"/>
              </w:rPr>
            </w:pPr>
            <w:r w:rsidRPr="00424F1B">
              <w:t>Assess risks arising from manual handling hazards.</w:t>
            </w:r>
          </w:p>
        </w:tc>
      </w:tr>
      <w:tr w:rsidTr="00424F1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24F1B">
            <w:pPr>
              <w:pStyle w:val="BodyText"/>
              <w:rPr>
                <w:lang w:val="en-NZ"/>
              </w:rPr>
            </w:pPr>
          </w:p>
        </w:tc>
      </w:tr>
      <w:tr w:rsidTr="00424F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24F1B" w:rsidP="00424F1B">
            <w:pPr>
              <w:pStyle w:val="BodyText"/>
            </w:pPr>
            <w:r w:rsidRPr="00424F1B">
              <w:t>2</w:t>
            </w:r>
          </w:p>
        </w:tc>
        <w:tc>
          <w:tcPr>
            <w:tcW w:w="1962" w:type="dxa"/>
            <w:vMerge w:val="restart"/>
            <w:tcBorders>
              <w:top w:val="nil"/>
              <w:left w:val="nil"/>
              <w:bottom w:val="nil"/>
              <w:right w:val="nil"/>
            </w:tcBorders>
            <w:tcMar>
              <w:top w:w="0" w:type="dxa"/>
              <w:left w:w="62" w:type="dxa"/>
              <w:bottom w:w="0" w:type="dxa"/>
              <w:right w:w="62" w:type="dxa"/>
            </w:tcMar>
          </w:tcPr>
          <w:p w:rsidR="00000000" w:rsidP="00424F1B">
            <w:pPr>
              <w:pStyle w:val="BodyText"/>
              <w:rPr>
                <w:lang w:val="en-NZ"/>
              </w:rPr>
            </w:pPr>
            <w:r w:rsidRPr="00424F1B">
              <w:rPr>
                <w:rStyle w:val="SpecialBold"/>
              </w:rPr>
              <w:t>Analyse physical effort requirements of job</w:t>
            </w:r>
          </w:p>
        </w:tc>
        <w:tc>
          <w:tcPr>
            <w:tcW w:w="770" w:type="dxa"/>
            <w:tcBorders>
              <w:top w:val="nil"/>
              <w:left w:val="nil"/>
              <w:bottom w:val="nil"/>
              <w:right w:val="nil"/>
            </w:tcBorders>
            <w:tcMar>
              <w:top w:w="0" w:type="dxa"/>
              <w:left w:w="62" w:type="dxa"/>
              <w:bottom w:w="0" w:type="dxa"/>
              <w:right w:w="62" w:type="dxa"/>
            </w:tcMar>
          </w:tcPr>
          <w:p w:rsidR="00000000" w:rsidP="00424F1B">
            <w:pPr>
              <w:pStyle w:val="BodyText"/>
              <w:rPr>
                <w:lang w:val="en-NZ"/>
              </w:rPr>
            </w:pPr>
            <w:r w:rsidRPr="00424F1B">
              <w:t>2.1</w:t>
            </w:r>
          </w:p>
        </w:tc>
        <w:tc>
          <w:tcPr>
            <w:tcW w:w="5610" w:type="dxa"/>
            <w:tcBorders>
              <w:top w:val="nil"/>
              <w:left w:val="nil"/>
              <w:bottom w:val="nil"/>
              <w:right w:val="nil"/>
            </w:tcBorders>
            <w:tcMar>
              <w:top w:w="0" w:type="dxa"/>
              <w:left w:w="62" w:type="dxa"/>
              <w:bottom w:w="0" w:type="dxa"/>
              <w:right w:w="62" w:type="dxa"/>
            </w:tcMar>
          </w:tcPr>
          <w:p w:rsidR="00000000" w:rsidP="00424F1B">
            <w:pPr>
              <w:pStyle w:val="BodyText"/>
              <w:rPr>
                <w:lang w:val="en-NZ"/>
              </w:rPr>
            </w:pPr>
            <w:r w:rsidRPr="00424F1B">
              <w:t>Determine basic manual handling requirements of job.</w:t>
            </w:r>
          </w:p>
        </w:tc>
      </w:tr>
      <w:tr w:rsidTr="00424F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4F1B">
            <w:pPr>
              <w:pStyle w:val="BodyText"/>
              <w:rPr>
                <w:lang w:val="en-NZ"/>
              </w:rPr>
            </w:pPr>
            <w:r w:rsidRPr="00424F1B">
              <w:t>2.2</w:t>
            </w:r>
          </w:p>
        </w:tc>
        <w:tc>
          <w:tcPr>
            <w:tcW w:w="5610" w:type="dxa"/>
            <w:tcBorders>
              <w:top w:val="nil"/>
              <w:left w:val="nil"/>
              <w:bottom w:val="nil"/>
              <w:right w:val="nil"/>
            </w:tcBorders>
            <w:tcMar>
              <w:top w:w="0" w:type="dxa"/>
              <w:left w:w="62" w:type="dxa"/>
              <w:bottom w:w="0" w:type="dxa"/>
              <w:right w:w="62" w:type="dxa"/>
            </w:tcMar>
          </w:tcPr>
          <w:p w:rsidR="00000000" w:rsidP="00424F1B">
            <w:pPr>
              <w:pStyle w:val="BodyText"/>
              <w:rPr>
                <w:lang w:val="en-NZ"/>
              </w:rPr>
            </w:pPr>
            <w:r w:rsidRPr="00424F1B">
              <w:t>Analyse requirements in terms of components, such as lift, move, place and hold.</w:t>
            </w:r>
          </w:p>
        </w:tc>
      </w:tr>
      <w:tr w:rsidTr="00424F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4F1B">
            <w:pPr>
              <w:pStyle w:val="BodyText"/>
              <w:rPr>
                <w:lang w:val="en-NZ"/>
              </w:rPr>
            </w:pPr>
            <w:r w:rsidRPr="00424F1B">
              <w:t>2.3</w:t>
            </w:r>
          </w:p>
        </w:tc>
        <w:tc>
          <w:tcPr>
            <w:tcW w:w="5610" w:type="dxa"/>
            <w:tcBorders>
              <w:top w:val="nil"/>
              <w:left w:val="nil"/>
              <w:bottom w:val="nil"/>
              <w:right w:val="nil"/>
            </w:tcBorders>
            <w:tcMar>
              <w:top w:w="0" w:type="dxa"/>
              <w:left w:w="62" w:type="dxa"/>
              <w:bottom w:w="0" w:type="dxa"/>
              <w:right w:w="62" w:type="dxa"/>
            </w:tcMar>
          </w:tcPr>
          <w:p w:rsidR="00000000" w:rsidP="00424F1B">
            <w:pPr>
              <w:pStyle w:val="BodyText"/>
              <w:rPr>
                <w:lang w:val="en-NZ"/>
              </w:rPr>
            </w:pPr>
            <w:r w:rsidRPr="00424F1B">
              <w:t>Analyse items to be handled in terms such as weight, size, shape or other hazards.</w:t>
            </w:r>
          </w:p>
        </w:tc>
      </w:tr>
      <w:tr w:rsidTr="00424F1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24F1B">
            <w:pPr>
              <w:pStyle w:val="BodyText"/>
              <w:rPr>
                <w:lang w:val="en-NZ"/>
              </w:rPr>
            </w:pPr>
          </w:p>
        </w:tc>
      </w:tr>
      <w:tr w:rsidTr="00424F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24F1B" w:rsidP="00424F1B">
            <w:pPr>
              <w:pStyle w:val="BodyText"/>
            </w:pPr>
            <w:r w:rsidRPr="00424F1B">
              <w:t>3</w:t>
            </w:r>
          </w:p>
        </w:tc>
        <w:tc>
          <w:tcPr>
            <w:tcW w:w="1962" w:type="dxa"/>
            <w:vMerge w:val="restart"/>
            <w:tcBorders>
              <w:top w:val="nil"/>
              <w:left w:val="nil"/>
              <w:bottom w:val="nil"/>
              <w:right w:val="nil"/>
            </w:tcBorders>
            <w:tcMar>
              <w:top w:w="0" w:type="dxa"/>
              <w:left w:w="62" w:type="dxa"/>
              <w:bottom w:w="0" w:type="dxa"/>
              <w:right w:w="62" w:type="dxa"/>
            </w:tcMar>
          </w:tcPr>
          <w:p w:rsidR="00000000" w:rsidP="00424F1B">
            <w:pPr>
              <w:pStyle w:val="BodyText"/>
              <w:rPr>
                <w:lang w:val="en-NZ"/>
              </w:rPr>
            </w:pPr>
            <w:r w:rsidRPr="00424F1B">
              <w:rPr>
                <w:rStyle w:val="SpecialBold"/>
              </w:rPr>
              <w:t>Determine time/effort components of physical effort</w:t>
            </w:r>
          </w:p>
        </w:tc>
        <w:tc>
          <w:tcPr>
            <w:tcW w:w="770" w:type="dxa"/>
            <w:tcBorders>
              <w:top w:val="nil"/>
              <w:left w:val="nil"/>
              <w:bottom w:val="nil"/>
              <w:right w:val="nil"/>
            </w:tcBorders>
            <w:tcMar>
              <w:top w:w="0" w:type="dxa"/>
              <w:left w:w="62" w:type="dxa"/>
              <w:bottom w:w="0" w:type="dxa"/>
              <w:right w:w="62" w:type="dxa"/>
            </w:tcMar>
          </w:tcPr>
          <w:p w:rsidR="00000000" w:rsidP="00424F1B">
            <w:pPr>
              <w:pStyle w:val="BodyText"/>
              <w:rPr>
                <w:lang w:val="en-NZ"/>
              </w:rPr>
            </w:pPr>
            <w:r w:rsidRPr="00424F1B">
              <w:t>3.1</w:t>
            </w:r>
          </w:p>
        </w:tc>
        <w:tc>
          <w:tcPr>
            <w:tcW w:w="5610" w:type="dxa"/>
            <w:tcBorders>
              <w:top w:val="nil"/>
              <w:left w:val="nil"/>
              <w:bottom w:val="nil"/>
              <w:right w:val="nil"/>
            </w:tcBorders>
            <w:tcMar>
              <w:top w:w="0" w:type="dxa"/>
              <w:left w:w="62" w:type="dxa"/>
              <w:bottom w:w="0" w:type="dxa"/>
              <w:right w:w="62" w:type="dxa"/>
            </w:tcMar>
          </w:tcPr>
          <w:p w:rsidR="00000000" w:rsidP="00424F1B">
            <w:pPr>
              <w:pStyle w:val="BodyText"/>
              <w:rPr>
                <w:lang w:val="en-NZ"/>
              </w:rPr>
            </w:pPr>
            <w:r w:rsidRPr="00424F1B">
              <w:t>Break required movement pattern down into movement components.</w:t>
            </w:r>
          </w:p>
        </w:tc>
      </w:tr>
      <w:tr w:rsidTr="00424F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4F1B">
            <w:pPr>
              <w:pStyle w:val="BodyText"/>
              <w:rPr>
                <w:lang w:val="en-NZ"/>
              </w:rPr>
            </w:pPr>
            <w:r w:rsidRPr="00424F1B">
              <w:t>3.2</w:t>
            </w:r>
          </w:p>
        </w:tc>
        <w:tc>
          <w:tcPr>
            <w:tcW w:w="5610" w:type="dxa"/>
            <w:tcBorders>
              <w:top w:val="nil"/>
              <w:left w:val="nil"/>
              <w:bottom w:val="nil"/>
              <w:right w:val="nil"/>
            </w:tcBorders>
            <w:tcMar>
              <w:top w:w="0" w:type="dxa"/>
              <w:left w:w="62" w:type="dxa"/>
              <w:bottom w:w="0" w:type="dxa"/>
              <w:right w:w="62" w:type="dxa"/>
            </w:tcMar>
          </w:tcPr>
          <w:p w:rsidR="00000000" w:rsidP="00424F1B">
            <w:pPr>
              <w:pStyle w:val="BodyText"/>
              <w:rPr>
                <w:lang w:val="en-NZ"/>
              </w:rPr>
            </w:pPr>
            <w:r w:rsidRPr="00424F1B">
              <w:t>Determine time and effort requirements for movements.</w:t>
            </w:r>
          </w:p>
        </w:tc>
      </w:tr>
      <w:tr w:rsidTr="00424F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4F1B">
            <w:pPr>
              <w:pStyle w:val="BodyText"/>
              <w:rPr>
                <w:lang w:val="en-NZ"/>
              </w:rPr>
            </w:pPr>
            <w:r w:rsidRPr="00424F1B">
              <w:t>3.3</w:t>
            </w:r>
          </w:p>
        </w:tc>
        <w:tc>
          <w:tcPr>
            <w:tcW w:w="5610" w:type="dxa"/>
            <w:tcBorders>
              <w:top w:val="nil"/>
              <w:left w:val="nil"/>
              <w:bottom w:val="nil"/>
              <w:right w:val="nil"/>
            </w:tcBorders>
            <w:tcMar>
              <w:top w:w="0" w:type="dxa"/>
              <w:left w:w="62" w:type="dxa"/>
              <w:bottom w:w="0" w:type="dxa"/>
              <w:right w:w="62" w:type="dxa"/>
            </w:tcMar>
          </w:tcPr>
          <w:p w:rsidR="00000000" w:rsidP="00424F1B">
            <w:pPr>
              <w:pStyle w:val="BodyText"/>
              <w:rPr>
                <w:lang w:val="en-NZ"/>
              </w:rPr>
            </w:pPr>
            <w:r w:rsidRPr="00424F1B">
              <w:t>Develop alternative movement patterns.</w:t>
            </w:r>
          </w:p>
        </w:tc>
      </w:tr>
      <w:tr w:rsidTr="00424F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4F1B">
            <w:pPr>
              <w:pStyle w:val="BodyText"/>
              <w:rPr>
                <w:lang w:val="en-NZ"/>
              </w:rPr>
            </w:pPr>
            <w:r w:rsidRPr="00424F1B">
              <w:t>3.4</w:t>
            </w:r>
          </w:p>
        </w:tc>
        <w:tc>
          <w:tcPr>
            <w:tcW w:w="5610" w:type="dxa"/>
            <w:tcBorders>
              <w:top w:val="nil"/>
              <w:left w:val="nil"/>
              <w:bottom w:val="nil"/>
              <w:right w:val="nil"/>
            </w:tcBorders>
            <w:tcMar>
              <w:top w:w="0" w:type="dxa"/>
              <w:left w:w="62" w:type="dxa"/>
              <w:bottom w:w="0" w:type="dxa"/>
              <w:right w:w="62" w:type="dxa"/>
            </w:tcMar>
          </w:tcPr>
          <w:p w:rsidR="00000000" w:rsidP="00424F1B">
            <w:pPr>
              <w:pStyle w:val="BodyText"/>
              <w:rPr>
                <w:lang w:val="en-NZ"/>
              </w:rPr>
            </w:pPr>
            <w:r w:rsidRPr="00424F1B">
              <w:t>Determi</w:t>
            </w:r>
            <w:r w:rsidRPr="00424F1B">
              <w:t>ne time and effort requirements for alternative movements.</w:t>
            </w:r>
          </w:p>
        </w:tc>
      </w:tr>
      <w:tr w:rsidTr="00424F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4F1B">
            <w:pPr>
              <w:pStyle w:val="BodyText"/>
              <w:rPr>
                <w:lang w:val="en-NZ"/>
              </w:rPr>
            </w:pPr>
            <w:r w:rsidRPr="00424F1B">
              <w:t>3.5</w:t>
            </w:r>
          </w:p>
        </w:tc>
        <w:tc>
          <w:tcPr>
            <w:tcW w:w="5610" w:type="dxa"/>
            <w:tcBorders>
              <w:top w:val="nil"/>
              <w:left w:val="nil"/>
              <w:bottom w:val="nil"/>
              <w:right w:val="nil"/>
            </w:tcBorders>
            <w:tcMar>
              <w:top w:w="0" w:type="dxa"/>
              <w:left w:w="62" w:type="dxa"/>
              <w:bottom w:w="0" w:type="dxa"/>
              <w:right w:w="62" w:type="dxa"/>
            </w:tcMar>
          </w:tcPr>
          <w:p w:rsidR="00000000" w:rsidP="00424F1B">
            <w:pPr>
              <w:pStyle w:val="BodyText"/>
              <w:rPr>
                <w:lang w:val="en-NZ"/>
              </w:rPr>
            </w:pPr>
            <w:r w:rsidRPr="00424F1B">
              <w:t>Determine handling aids required to assist movement.</w:t>
            </w:r>
          </w:p>
        </w:tc>
      </w:tr>
      <w:tr w:rsidTr="00424F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4F1B">
            <w:pPr>
              <w:pStyle w:val="BodyText"/>
              <w:rPr>
                <w:lang w:val="en-NZ"/>
              </w:rPr>
            </w:pPr>
            <w:r w:rsidRPr="00424F1B">
              <w:t>3.6</w:t>
            </w:r>
          </w:p>
        </w:tc>
        <w:tc>
          <w:tcPr>
            <w:tcW w:w="5610" w:type="dxa"/>
            <w:tcBorders>
              <w:top w:val="nil"/>
              <w:left w:val="nil"/>
              <w:bottom w:val="nil"/>
              <w:right w:val="nil"/>
            </w:tcBorders>
            <w:tcMar>
              <w:top w:w="0" w:type="dxa"/>
              <w:left w:w="62" w:type="dxa"/>
              <w:bottom w:w="0" w:type="dxa"/>
              <w:right w:w="62" w:type="dxa"/>
            </w:tcMar>
          </w:tcPr>
          <w:p w:rsidR="00000000" w:rsidP="00424F1B">
            <w:pPr>
              <w:pStyle w:val="BodyText"/>
              <w:rPr>
                <w:lang w:val="en-NZ"/>
              </w:rPr>
            </w:pPr>
            <w:r w:rsidRPr="00424F1B">
              <w:t>Determine preferred movement pattern.</w:t>
            </w:r>
          </w:p>
        </w:tc>
      </w:tr>
      <w:tr w:rsidTr="00424F1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24F1B">
            <w:pPr>
              <w:pStyle w:val="BodyText"/>
              <w:rPr>
                <w:lang w:val="en-NZ"/>
              </w:rPr>
            </w:pPr>
          </w:p>
        </w:tc>
      </w:tr>
      <w:tr w:rsidTr="00424F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24F1B" w:rsidP="00424F1B">
            <w:pPr>
              <w:pStyle w:val="BodyText"/>
            </w:pPr>
            <w:r w:rsidRPr="00424F1B">
              <w:t>4</w:t>
            </w:r>
          </w:p>
        </w:tc>
        <w:tc>
          <w:tcPr>
            <w:tcW w:w="1962" w:type="dxa"/>
            <w:vMerge w:val="restart"/>
            <w:tcBorders>
              <w:top w:val="nil"/>
              <w:left w:val="nil"/>
              <w:bottom w:val="nil"/>
              <w:right w:val="nil"/>
            </w:tcBorders>
            <w:tcMar>
              <w:top w:w="0" w:type="dxa"/>
              <w:left w:w="62" w:type="dxa"/>
              <w:bottom w:w="0" w:type="dxa"/>
              <w:right w:w="62" w:type="dxa"/>
            </w:tcMar>
          </w:tcPr>
          <w:p w:rsidR="00000000" w:rsidP="00424F1B">
            <w:pPr>
              <w:pStyle w:val="BodyText"/>
              <w:rPr>
                <w:lang w:val="en-NZ"/>
              </w:rPr>
            </w:pPr>
            <w:r w:rsidRPr="00424F1B">
              <w:rPr>
                <w:rStyle w:val="SpecialBold"/>
              </w:rPr>
              <w:t>Analyse the ergonomics of physical effort</w:t>
            </w:r>
          </w:p>
        </w:tc>
        <w:tc>
          <w:tcPr>
            <w:tcW w:w="770" w:type="dxa"/>
            <w:tcBorders>
              <w:top w:val="nil"/>
              <w:left w:val="nil"/>
              <w:bottom w:val="nil"/>
              <w:right w:val="nil"/>
            </w:tcBorders>
            <w:tcMar>
              <w:top w:w="0" w:type="dxa"/>
              <w:left w:w="62" w:type="dxa"/>
              <w:bottom w:w="0" w:type="dxa"/>
              <w:right w:w="62" w:type="dxa"/>
            </w:tcMar>
          </w:tcPr>
          <w:p w:rsidR="00000000" w:rsidP="00424F1B">
            <w:pPr>
              <w:pStyle w:val="BodyText"/>
              <w:rPr>
                <w:lang w:val="en-NZ"/>
              </w:rPr>
            </w:pPr>
            <w:r w:rsidRPr="00424F1B">
              <w:t>4.1</w:t>
            </w:r>
          </w:p>
        </w:tc>
        <w:tc>
          <w:tcPr>
            <w:tcW w:w="5610" w:type="dxa"/>
            <w:tcBorders>
              <w:top w:val="nil"/>
              <w:left w:val="nil"/>
              <w:bottom w:val="nil"/>
              <w:right w:val="nil"/>
            </w:tcBorders>
            <w:tcMar>
              <w:top w:w="0" w:type="dxa"/>
              <w:left w:w="62" w:type="dxa"/>
              <w:bottom w:w="0" w:type="dxa"/>
              <w:right w:w="62" w:type="dxa"/>
            </w:tcMar>
          </w:tcPr>
          <w:p w:rsidR="00000000" w:rsidP="00424F1B">
            <w:pPr>
              <w:pStyle w:val="BodyText"/>
              <w:rPr>
                <w:lang w:val="en-NZ"/>
              </w:rPr>
            </w:pPr>
            <w:r w:rsidRPr="00424F1B">
              <w:t>Analyse the ergonomics of the preferred movement pattern.</w:t>
            </w:r>
          </w:p>
        </w:tc>
      </w:tr>
      <w:tr w:rsidTr="00424F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4F1B">
            <w:pPr>
              <w:pStyle w:val="BodyText"/>
              <w:rPr>
                <w:lang w:val="en-NZ"/>
              </w:rPr>
            </w:pPr>
            <w:r w:rsidRPr="00424F1B">
              <w:t>4.2</w:t>
            </w:r>
          </w:p>
        </w:tc>
        <w:tc>
          <w:tcPr>
            <w:tcW w:w="5610" w:type="dxa"/>
            <w:tcBorders>
              <w:top w:val="nil"/>
              <w:left w:val="nil"/>
              <w:bottom w:val="nil"/>
              <w:right w:val="nil"/>
            </w:tcBorders>
            <w:tcMar>
              <w:top w:w="0" w:type="dxa"/>
              <w:left w:w="62" w:type="dxa"/>
              <w:bottom w:w="0" w:type="dxa"/>
              <w:right w:w="62" w:type="dxa"/>
            </w:tcMar>
          </w:tcPr>
          <w:p w:rsidR="00000000" w:rsidP="00424F1B">
            <w:pPr>
              <w:pStyle w:val="BodyText"/>
              <w:rPr>
                <w:lang w:val="en-NZ"/>
              </w:rPr>
            </w:pPr>
            <w:r w:rsidRPr="00424F1B">
              <w:t>Develop substitute movements for any movement which is not ergonomically sound.</w:t>
            </w:r>
          </w:p>
        </w:tc>
      </w:tr>
      <w:tr w:rsidTr="00424F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4F1B">
            <w:pPr>
              <w:pStyle w:val="BodyText"/>
              <w:rPr>
                <w:lang w:val="en-NZ"/>
              </w:rPr>
            </w:pPr>
            <w:r w:rsidRPr="00424F1B">
              <w:t>4.3</w:t>
            </w:r>
          </w:p>
        </w:tc>
        <w:tc>
          <w:tcPr>
            <w:tcW w:w="5610" w:type="dxa"/>
            <w:tcBorders>
              <w:top w:val="nil"/>
              <w:left w:val="nil"/>
              <w:bottom w:val="nil"/>
              <w:right w:val="nil"/>
            </w:tcBorders>
            <w:tcMar>
              <w:top w:w="0" w:type="dxa"/>
              <w:left w:w="62" w:type="dxa"/>
              <w:bottom w:w="0" w:type="dxa"/>
              <w:right w:w="62" w:type="dxa"/>
            </w:tcMar>
          </w:tcPr>
          <w:p w:rsidR="00000000" w:rsidP="00424F1B">
            <w:pPr>
              <w:pStyle w:val="BodyText"/>
              <w:rPr>
                <w:lang w:val="en-NZ"/>
              </w:rPr>
            </w:pPr>
            <w:r w:rsidRPr="00424F1B">
              <w:t>Determine handling aids required to improve ergonomics of required movements.</w:t>
            </w:r>
          </w:p>
        </w:tc>
      </w:tr>
      <w:tr w:rsidTr="00424F1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24F1B">
            <w:pPr>
              <w:pStyle w:val="BodyText"/>
              <w:rPr>
                <w:lang w:val="en-NZ"/>
              </w:rPr>
            </w:pPr>
          </w:p>
        </w:tc>
      </w:tr>
      <w:tr w:rsidTr="00424F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24F1B" w:rsidP="00424F1B">
            <w:pPr>
              <w:pStyle w:val="BodyText"/>
            </w:pPr>
            <w:r w:rsidRPr="00424F1B">
              <w:t>5</w:t>
            </w:r>
          </w:p>
        </w:tc>
        <w:tc>
          <w:tcPr>
            <w:tcW w:w="1962" w:type="dxa"/>
            <w:vMerge w:val="restart"/>
            <w:tcBorders>
              <w:top w:val="nil"/>
              <w:left w:val="nil"/>
              <w:bottom w:val="nil"/>
              <w:right w:val="nil"/>
            </w:tcBorders>
            <w:tcMar>
              <w:top w:w="0" w:type="dxa"/>
              <w:left w:w="62" w:type="dxa"/>
              <w:bottom w:w="0" w:type="dxa"/>
              <w:right w:w="62" w:type="dxa"/>
            </w:tcMar>
          </w:tcPr>
          <w:p w:rsidR="00000000" w:rsidP="00424F1B">
            <w:pPr>
              <w:pStyle w:val="BodyText"/>
              <w:rPr>
                <w:lang w:val="en-NZ"/>
              </w:rPr>
            </w:pPr>
            <w:r w:rsidRPr="00424F1B">
              <w:rPr>
                <w:rStyle w:val="SpecialBold"/>
              </w:rPr>
              <w:t>Optimise application of physical effort</w:t>
            </w:r>
          </w:p>
        </w:tc>
        <w:tc>
          <w:tcPr>
            <w:tcW w:w="770" w:type="dxa"/>
            <w:tcBorders>
              <w:top w:val="nil"/>
              <w:left w:val="nil"/>
              <w:bottom w:val="nil"/>
              <w:right w:val="nil"/>
            </w:tcBorders>
            <w:tcMar>
              <w:top w:w="0" w:type="dxa"/>
              <w:left w:w="62" w:type="dxa"/>
              <w:bottom w:w="0" w:type="dxa"/>
              <w:right w:w="62" w:type="dxa"/>
            </w:tcMar>
          </w:tcPr>
          <w:p w:rsidR="00000000" w:rsidP="00424F1B">
            <w:pPr>
              <w:pStyle w:val="BodyText"/>
              <w:rPr>
                <w:lang w:val="en-NZ"/>
              </w:rPr>
            </w:pPr>
            <w:r w:rsidRPr="00424F1B">
              <w:t>5.1</w:t>
            </w:r>
          </w:p>
        </w:tc>
        <w:tc>
          <w:tcPr>
            <w:tcW w:w="5610" w:type="dxa"/>
            <w:tcBorders>
              <w:top w:val="nil"/>
              <w:left w:val="nil"/>
              <w:bottom w:val="nil"/>
              <w:right w:val="nil"/>
            </w:tcBorders>
            <w:tcMar>
              <w:top w:w="0" w:type="dxa"/>
              <w:left w:w="62" w:type="dxa"/>
              <w:bottom w:w="0" w:type="dxa"/>
              <w:right w:w="62" w:type="dxa"/>
            </w:tcMar>
          </w:tcPr>
          <w:p w:rsidR="00000000" w:rsidP="00424F1B">
            <w:pPr>
              <w:pStyle w:val="BodyText"/>
              <w:rPr>
                <w:lang w:val="en-NZ"/>
              </w:rPr>
            </w:pPr>
            <w:r w:rsidRPr="00424F1B">
              <w:t>Select movement patterns which are ergonomically sound and time and effort efficient.</w:t>
            </w:r>
          </w:p>
        </w:tc>
      </w:tr>
      <w:tr w:rsidTr="00424F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4F1B">
            <w:pPr>
              <w:pStyle w:val="BodyText"/>
              <w:rPr>
                <w:lang w:val="en-NZ"/>
              </w:rPr>
            </w:pPr>
            <w:r w:rsidRPr="00424F1B">
              <w:t>5.2</w:t>
            </w:r>
          </w:p>
        </w:tc>
        <w:tc>
          <w:tcPr>
            <w:tcW w:w="5610" w:type="dxa"/>
            <w:tcBorders>
              <w:top w:val="nil"/>
              <w:left w:val="nil"/>
              <w:bottom w:val="nil"/>
              <w:right w:val="nil"/>
            </w:tcBorders>
            <w:tcMar>
              <w:top w:w="0" w:type="dxa"/>
              <w:left w:w="62" w:type="dxa"/>
              <w:bottom w:w="0" w:type="dxa"/>
              <w:right w:w="62" w:type="dxa"/>
            </w:tcMar>
          </w:tcPr>
          <w:p w:rsidR="00000000" w:rsidP="00424F1B">
            <w:pPr>
              <w:pStyle w:val="BodyText"/>
              <w:rPr>
                <w:lang w:val="en-NZ"/>
              </w:rPr>
            </w:pPr>
            <w:r w:rsidRPr="00424F1B">
              <w:t>Ensure all relevant people are trained to use these methods.</w:t>
            </w:r>
          </w:p>
        </w:tc>
      </w:tr>
      <w:tr w:rsidTr="00424F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4F1B">
            <w:pPr>
              <w:pStyle w:val="BodyText"/>
              <w:rPr>
                <w:lang w:val="en-NZ"/>
              </w:rPr>
            </w:pPr>
            <w:r w:rsidRPr="00424F1B">
              <w:t>5.3</w:t>
            </w:r>
          </w:p>
        </w:tc>
        <w:tc>
          <w:tcPr>
            <w:tcW w:w="5610" w:type="dxa"/>
            <w:tcBorders>
              <w:top w:val="nil"/>
              <w:left w:val="nil"/>
              <w:bottom w:val="nil"/>
              <w:right w:val="nil"/>
            </w:tcBorders>
            <w:tcMar>
              <w:top w:w="0" w:type="dxa"/>
              <w:left w:w="62" w:type="dxa"/>
              <w:bottom w:w="0" w:type="dxa"/>
              <w:right w:w="62" w:type="dxa"/>
            </w:tcMar>
          </w:tcPr>
          <w:p w:rsidR="00000000" w:rsidP="00424F1B">
            <w:pPr>
              <w:pStyle w:val="BodyText"/>
              <w:rPr>
                <w:lang w:val="en-NZ"/>
              </w:rPr>
            </w:pPr>
            <w:r w:rsidRPr="00424F1B">
              <w:t>Ensure procedures and practices reflect the optimum methods.</w:t>
            </w:r>
          </w:p>
        </w:tc>
      </w:tr>
      <w:tr w:rsidTr="00424F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4F1B">
            <w:pPr>
              <w:pStyle w:val="BodyText"/>
              <w:rPr>
                <w:lang w:val="en-NZ"/>
              </w:rPr>
            </w:pPr>
            <w:r w:rsidRPr="00424F1B">
              <w:t>5.4</w:t>
            </w:r>
          </w:p>
        </w:tc>
        <w:tc>
          <w:tcPr>
            <w:tcW w:w="5610" w:type="dxa"/>
            <w:tcBorders>
              <w:top w:val="nil"/>
              <w:left w:val="nil"/>
              <w:bottom w:val="nil"/>
              <w:right w:val="nil"/>
            </w:tcBorders>
            <w:tcMar>
              <w:top w:w="0" w:type="dxa"/>
              <w:left w:w="62" w:type="dxa"/>
              <w:bottom w:w="0" w:type="dxa"/>
              <w:right w:w="62" w:type="dxa"/>
            </w:tcMar>
          </w:tcPr>
          <w:p w:rsidR="00000000" w:rsidRPr="00424F1B" w:rsidP="00424F1B">
            <w:pPr>
              <w:pStyle w:val="BodyText"/>
            </w:pPr>
            <w:r w:rsidRPr="00424F1B">
              <w:t>Communicate with team members and involve them in development of alternatives to ensure awareness and facilitate learning.</w:t>
            </w:r>
          </w:p>
        </w:tc>
      </w:tr>
    </w:tbl>
    <w:p w:rsidR="00000000" w:rsidRPr="00424F1B" w:rsidP="00424F1B">
      <w:pPr>
        <w:pStyle w:val="BodyText"/>
      </w:pPr>
    </w:p>
    <w:p w:rsidR="00000000" w:rsidRPr="00424F1B" w:rsidP="00424F1B">
      <w:pPr>
        <w:pStyle w:val="AllowPageBreak"/>
      </w:pPr>
    </w:p>
    <w:p w:rsidR="00000000" w:rsidRPr="00424F1B" w:rsidP="00424F1B">
      <w:pPr>
        <w:pStyle w:val="Heading1"/>
      </w:pPr>
      <w:bookmarkStart w:id="7" w:name="O_920590"/>
      <w:bookmarkEnd w:id="7"/>
      <w:r w:rsidRPr="00424F1B">
        <w:t>Foundation Skills</w:t>
      </w:r>
    </w:p>
    <w:p w:rsidR="00000000" w:rsidRPr="00424F1B" w:rsidP="003770D3">
      <w:pPr>
        <w:pStyle w:val="BodyText"/>
      </w:pPr>
      <w:r w:rsidRPr="00424F1B">
        <w:t>This section describes those required skills (language, literacy and numeracy) that are essential to performance.</w:t>
      </w:r>
    </w:p>
    <w:p w:rsidR="00000000" w:rsidRPr="00424F1B" w:rsidP="003770D3">
      <w:pPr>
        <w:pStyle w:val="BodyText"/>
      </w:pPr>
      <w:r w:rsidRPr="00424F1B">
        <w:t>Foundation skills essential to performance are explicit in the performance criteria of this unit of competency.</w:t>
      </w:r>
    </w:p>
    <w:p w:rsidR="00000000" w:rsidRPr="00424F1B" w:rsidP="00424F1B">
      <w:pPr>
        <w:pStyle w:val="Heading1"/>
      </w:pPr>
      <w:bookmarkStart w:id="8" w:name="O_920589"/>
      <w:bookmarkEnd w:id="8"/>
      <w:r w:rsidRPr="00424F1B">
        <w:t>Range of Con</w:t>
      </w:r>
      <w:r w:rsidRPr="00424F1B">
        <w:t>ditions</w:t>
      </w:r>
    </w:p>
    <w:tbl>
      <w:tblPr>
        <w:tblW w:w="0" w:type="auto"/>
        <w:tblLayout w:type="fixed"/>
        <w:tblCellMar>
          <w:left w:w="62" w:type="dxa"/>
          <w:right w:w="62" w:type="dxa"/>
        </w:tblCellMar>
        <w:tblLook w:val="0000"/>
      </w:tblPr>
      <w:tblGrid>
        <w:gridCol w:w="2231"/>
        <w:gridCol w:w="6841"/>
      </w:tblGrid>
      <w:tr w:rsidTr="00424F1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24F1B">
            <w:pPr>
              <w:pStyle w:val="BodyText"/>
              <w:rPr>
                <w:lang w:val="en-NZ"/>
              </w:rPr>
            </w:pPr>
            <w:r w:rsidRPr="00424F1B">
              <w:t>This field allows for different work environments and conditions that may affect performance. Essential operating conditions that may be present (depending on the work situation, needs of the candidate, accessibility of the item, and local industry</w:t>
            </w:r>
            <w:r w:rsidRPr="00424F1B">
              <w:t xml:space="preserve"> and regional contexts) are included.</w:t>
            </w:r>
          </w:p>
        </w:tc>
      </w:tr>
      <w:tr w:rsidTr="00424F1B">
        <w:tblPrEx>
          <w:tblW w:w="0" w:type="auto"/>
          <w:tblLayout w:type="fixed"/>
          <w:tblCellMar>
            <w:left w:w="62" w:type="dxa"/>
            <w:right w:w="62" w:type="dxa"/>
          </w:tblCellMar>
          <w:tblLook w:val="0000"/>
        </w:tblPrEx>
        <w:tc>
          <w:tcPr>
            <w:tcW w:w="2231" w:type="dxa"/>
            <w:tcBorders>
              <w:top w:val="nil"/>
              <w:left w:val="nil"/>
              <w:bottom w:val="nil"/>
              <w:right w:val="nil"/>
            </w:tcBorders>
            <w:tcMar>
              <w:top w:w="0" w:type="dxa"/>
              <w:left w:w="62" w:type="dxa"/>
              <w:bottom w:w="0" w:type="dxa"/>
              <w:right w:w="62" w:type="dxa"/>
            </w:tcMar>
          </w:tcPr>
          <w:p w:rsidR="00000000" w:rsidRPr="00424F1B" w:rsidP="00424F1B">
            <w:pPr>
              <w:pStyle w:val="BodyText"/>
            </w:pPr>
            <w:r w:rsidRPr="00424F1B">
              <w:rPr>
                <w:rStyle w:val="SpecialBold"/>
              </w:rPr>
              <w:t>Competitive systems and practices include one or more of:</w:t>
            </w:r>
          </w:p>
          <w:p w:rsidR="00000000" w:rsidP="00424F1B">
            <w:pPr>
              <w:pStyle w:val="BodyText"/>
              <w:rPr>
                <w:lang w:val="en-NZ"/>
              </w:rPr>
            </w:pPr>
          </w:p>
        </w:tc>
        <w:tc>
          <w:tcPr>
            <w:tcW w:w="6841" w:type="dxa"/>
            <w:tcBorders>
              <w:top w:val="nil"/>
              <w:left w:val="nil"/>
              <w:bottom w:val="nil"/>
              <w:right w:val="nil"/>
            </w:tcBorders>
            <w:tcMar>
              <w:top w:w="0" w:type="dxa"/>
              <w:left w:w="62" w:type="dxa"/>
              <w:bottom w:w="0" w:type="dxa"/>
              <w:right w:w="62" w:type="dxa"/>
            </w:tcMar>
          </w:tcPr>
          <w:p w:rsidR="00000000" w:rsidRPr="00424F1B" w:rsidP="00424F1B">
            <w:pPr>
              <w:pStyle w:val="ListBullet"/>
            </w:pPr>
            <w:r w:rsidRPr="00424F1B">
              <w:t>lean operations</w:t>
            </w:r>
          </w:p>
          <w:p w:rsidR="00000000" w:rsidRPr="00424F1B" w:rsidP="00424F1B">
            <w:pPr>
              <w:pStyle w:val="ListBullet"/>
            </w:pPr>
            <w:r w:rsidRPr="00424F1B">
              <w:t>agile operations</w:t>
            </w:r>
          </w:p>
          <w:p w:rsidR="00000000" w:rsidRPr="00424F1B" w:rsidP="00424F1B">
            <w:pPr>
              <w:pStyle w:val="ListBullet"/>
            </w:pPr>
            <w:r w:rsidRPr="00424F1B">
              <w:t>preventative and predictive maintenance approaches</w:t>
            </w:r>
          </w:p>
          <w:p w:rsidR="00000000" w:rsidRPr="00424F1B" w:rsidP="00424F1B">
            <w:pPr>
              <w:pStyle w:val="ListBullet"/>
            </w:pPr>
            <w:r w:rsidRPr="00424F1B">
              <w:t>statistical process control systems, including six sigma and three sigma</w:t>
            </w:r>
          </w:p>
          <w:p w:rsidR="00000000" w:rsidRPr="00424F1B" w:rsidP="00424F1B">
            <w:pPr>
              <w:pStyle w:val="ListBullet"/>
            </w:pPr>
            <w:r w:rsidRPr="00424F1B">
              <w:t>Just in Time (JIT), kanban and other pull-related operations control systems</w:t>
            </w:r>
          </w:p>
          <w:p w:rsidR="00000000" w:rsidRPr="00424F1B" w:rsidP="00424F1B">
            <w:pPr>
              <w:pStyle w:val="ListBullet"/>
            </w:pPr>
            <w:r w:rsidRPr="00424F1B">
              <w:t>supply, value, and demand chain monitoring and analysis</w:t>
            </w:r>
          </w:p>
          <w:p w:rsidR="00000000" w:rsidRPr="00424F1B" w:rsidP="00424F1B">
            <w:pPr>
              <w:pStyle w:val="ListBullet"/>
            </w:pPr>
            <w:r w:rsidRPr="00424F1B">
              <w:t xml:space="preserve">5S </w:t>
            </w:r>
          </w:p>
          <w:p w:rsidR="00000000" w:rsidRPr="00424F1B" w:rsidP="00424F1B">
            <w:pPr>
              <w:pStyle w:val="ListBullet"/>
            </w:pPr>
            <w:r w:rsidRPr="00424F1B">
              <w:t>continuous improvement (kaizen)</w:t>
            </w:r>
          </w:p>
          <w:p w:rsidR="00000000" w:rsidRPr="00424F1B" w:rsidP="00424F1B">
            <w:pPr>
              <w:pStyle w:val="ListBullet"/>
            </w:pPr>
            <w:r w:rsidRPr="00424F1B">
              <w:t>breakthrough improvement (kaizen blitz)</w:t>
            </w:r>
          </w:p>
          <w:p w:rsidR="00000000" w:rsidRPr="00424F1B" w:rsidP="00424F1B">
            <w:pPr>
              <w:pStyle w:val="ListBullet"/>
            </w:pPr>
            <w:r w:rsidRPr="00424F1B">
              <w:t>cause/effect diagrams</w:t>
            </w:r>
          </w:p>
          <w:p w:rsidR="00000000" w:rsidRPr="00424F1B" w:rsidP="00424F1B">
            <w:pPr>
              <w:pStyle w:val="ListBullet"/>
            </w:pPr>
            <w:r w:rsidRPr="00424F1B">
              <w:t>overall equipment effect</w:t>
            </w:r>
            <w:r w:rsidRPr="00424F1B">
              <w:t>iveness (OEE)</w:t>
            </w:r>
          </w:p>
          <w:p w:rsidR="00000000" w:rsidRPr="00424F1B" w:rsidP="00424F1B">
            <w:pPr>
              <w:pStyle w:val="ListBullet"/>
            </w:pPr>
            <w:r w:rsidRPr="00424F1B">
              <w:t>takt time</w:t>
            </w:r>
          </w:p>
          <w:p w:rsidR="00000000" w:rsidRPr="00424F1B" w:rsidP="00424F1B">
            <w:pPr>
              <w:pStyle w:val="ListBullet"/>
            </w:pPr>
            <w:r w:rsidRPr="00424F1B">
              <w:t>process mapping</w:t>
            </w:r>
          </w:p>
          <w:p w:rsidR="00000000" w:rsidRPr="00424F1B" w:rsidP="00424F1B">
            <w:pPr>
              <w:pStyle w:val="ListBullet"/>
            </w:pPr>
            <w:r w:rsidRPr="00424F1B">
              <w:t xml:space="preserve">problem solving </w:t>
            </w:r>
          </w:p>
          <w:p w:rsidR="00000000" w:rsidRPr="00424F1B" w:rsidP="00424F1B">
            <w:pPr>
              <w:pStyle w:val="ListBullet"/>
            </w:pPr>
            <w:r w:rsidRPr="00424F1B">
              <w:t>run charts</w:t>
            </w:r>
          </w:p>
          <w:p w:rsidR="00000000" w:rsidRPr="00424F1B" w:rsidP="00424F1B">
            <w:pPr>
              <w:pStyle w:val="ListBullet"/>
            </w:pPr>
            <w:r w:rsidRPr="00424F1B">
              <w:t>standard procedures</w:t>
            </w:r>
          </w:p>
          <w:p w:rsidR="00000000" w:rsidRPr="00424F1B" w:rsidP="00424F1B">
            <w:pPr>
              <w:pStyle w:val="ListBullet"/>
            </w:pPr>
            <w:r w:rsidRPr="00424F1B">
              <w:t>current reality tree.</w:t>
            </w:r>
          </w:p>
          <w:p w:rsidR="00000000" w:rsidP="00424F1B">
            <w:pPr>
              <w:pStyle w:val="BodyText"/>
              <w:rPr>
                <w:lang w:val="en-NZ"/>
              </w:rPr>
            </w:pPr>
          </w:p>
        </w:tc>
      </w:tr>
      <w:tr w:rsidTr="00424F1B">
        <w:tblPrEx>
          <w:tblW w:w="0" w:type="auto"/>
          <w:tblLayout w:type="fixed"/>
          <w:tblCellMar>
            <w:left w:w="62" w:type="dxa"/>
            <w:right w:w="62" w:type="dxa"/>
          </w:tblCellMar>
          <w:tblLook w:val="0000"/>
        </w:tblPrEx>
        <w:tc>
          <w:tcPr>
            <w:tcW w:w="2231" w:type="dxa"/>
            <w:tcBorders>
              <w:top w:val="nil"/>
              <w:left w:val="nil"/>
              <w:bottom w:val="nil"/>
              <w:right w:val="nil"/>
            </w:tcBorders>
            <w:tcMar>
              <w:top w:w="0" w:type="dxa"/>
              <w:left w:w="62" w:type="dxa"/>
              <w:bottom w:w="0" w:type="dxa"/>
              <w:right w:w="62" w:type="dxa"/>
            </w:tcMar>
          </w:tcPr>
          <w:p w:rsidR="00000000" w:rsidP="00424F1B">
            <w:pPr>
              <w:pStyle w:val="BodyText"/>
              <w:rPr>
                <w:lang w:val="en-NZ"/>
              </w:rPr>
            </w:pPr>
            <w:r w:rsidRPr="00424F1B">
              <w:rPr>
                <w:rStyle w:val="SpecialBold"/>
              </w:rPr>
              <w:t>Procedures (written, verbal, visual, computer based, etc.) include one or more of:</w:t>
            </w:r>
          </w:p>
        </w:tc>
        <w:tc>
          <w:tcPr>
            <w:tcW w:w="6841" w:type="dxa"/>
            <w:tcBorders>
              <w:top w:val="nil"/>
              <w:left w:val="nil"/>
              <w:bottom w:val="nil"/>
              <w:right w:val="nil"/>
            </w:tcBorders>
            <w:tcMar>
              <w:top w:w="0" w:type="dxa"/>
              <w:left w:w="62" w:type="dxa"/>
              <w:bottom w:w="0" w:type="dxa"/>
              <w:right w:w="62" w:type="dxa"/>
            </w:tcMar>
          </w:tcPr>
          <w:p w:rsidR="00000000" w:rsidRPr="00424F1B" w:rsidP="00424F1B">
            <w:pPr>
              <w:pStyle w:val="ListBullet"/>
            </w:pPr>
            <w:r w:rsidRPr="00424F1B">
              <w:t>work instructions</w:t>
            </w:r>
          </w:p>
          <w:p w:rsidR="00000000" w:rsidRPr="00424F1B" w:rsidP="00424F1B">
            <w:pPr>
              <w:pStyle w:val="ListBullet"/>
            </w:pPr>
            <w:r w:rsidRPr="00424F1B">
              <w:t>standard operating procedures (SOPs)</w:t>
            </w:r>
          </w:p>
          <w:p w:rsidR="00000000" w:rsidRPr="00424F1B" w:rsidP="00424F1B">
            <w:pPr>
              <w:pStyle w:val="ListBullet"/>
            </w:pPr>
            <w:r w:rsidRPr="00424F1B">
              <w:t>safe work method statements</w:t>
            </w:r>
          </w:p>
          <w:p w:rsidR="00000000" w:rsidRPr="00424F1B" w:rsidP="00424F1B">
            <w:pPr>
              <w:pStyle w:val="ListBullet"/>
            </w:pPr>
            <w:r w:rsidRPr="00424F1B">
              <w:t>formulas/recipes</w:t>
            </w:r>
          </w:p>
          <w:p w:rsidR="00000000" w:rsidRPr="00424F1B" w:rsidP="00424F1B">
            <w:pPr>
              <w:pStyle w:val="ListBullet"/>
            </w:pPr>
            <w:r w:rsidRPr="00424F1B">
              <w:t>batch sheets</w:t>
            </w:r>
          </w:p>
          <w:p w:rsidR="00000000" w:rsidRPr="00424F1B" w:rsidP="00424F1B">
            <w:pPr>
              <w:pStyle w:val="ListBullet"/>
            </w:pPr>
            <w:r w:rsidRPr="00424F1B">
              <w:t>temporary instructions</w:t>
            </w:r>
          </w:p>
          <w:p w:rsidR="00000000" w:rsidRPr="00424F1B" w:rsidP="00424F1B">
            <w:pPr>
              <w:pStyle w:val="ListBullet"/>
            </w:pPr>
            <w:r w:rsidRPr="00424F1B">
              <w:t>any similar instructions provided for the smooth running of the plant.</w:t>
            </w:r>
          </w:p>
          <w:p w:rsidR="00000000" w:rsidP="00424F1B">
            <w:pPr>
              <w:pStyle w:val="BodyText"/>
              <w:rPr>
                <w:lang w:val="en-NZ"/>
              </w:rPr>
            </w:pPr>
          </w:p>
        </w:tc>
      </w:tr>
      <w:tr w:rsidTr="00424F1B">
        <w:tblPrEx>
          <w:tblW w:w="0" w:type="auto"/>
          <w:tblLayout w:type="fixed"/>
          <w:tblCellMar>
            <w:left w:w="62" w:type="dxa"/>
            <w:right w:w="62" w:type="dxa"/>
          </w:tblCellMar>
          <w:tblLook w:val="0000"/>
        </w:tblPrEx>
        <w:tc>
          <w:tcPr>
            <w:tcW w:w="2231" w:type="dxa"/>
            <w:tcBorders>
              <w:top w:val="nil"/>
              <w:left w:val="nil"/>
              <w:bottom w:val="nil"/>
              <w:right w:val="nil"/>
            </w:tcBorders>
            <w:tcMar>
              <w:top w:w="0" w:type="dxa"/>
              <w:left w:w="62" w:type="dxa"/>
              <w:bottom w:w="0" w:type="dxa"/>
              <w:right w:w="62" w:type="dxa"/>
            </w:tcMar>
          </w:tcPr>
          <w:p w:rsidR="00000000" w:rsidP="00424F1B">
            <w:pPr>
              <w:pStyle w:val="BodyText"/>
              <w:rPr>
                <w:lang w:val="en-NZ"/>
              </w:rPr>
            </w:pPr>
            <w:r w:rsidRPr="00424F1B">
              <w:rPr>
                <w:rStyle w:val="SpecialBold"/>
              </w:rPr>
              <w:t>Manual handling hazards include one or more of</w:t>
            </w:r>
          </w:p>
        </w:tc>
        <w:tc>
          <w:tcPr>
            <w:tcW w:w="6841" w:type="dxa"/>
            <w:tcBorders>
              <w:top w:val="nil"/>
              <w:left w:val="nil"/>
              <w:bottom w:val="nil"/>
              <w:right w:val="nil"/>
            </w:tcBorders>
            <w:tcMar>
              <w:top w:w="0" w:type="dxa"/>
              <w:left w:w="62" w:type="dxa"/>
              <w:bottom w:w="0" w:type="dxa"/>
              <w:right w:w="62" w:type="dxa"/>
            </w:tcMar>
          </w:tcPr>
          <w:p w:rsidR="00000000" w:rsidRPr="00424F1B" w:rsidP="00424F1B">
            <w:pPr>
              <w:pStyle w:val="ListBullet"/>
            </w:pPr>
            <w:r w:rsidRPr="00424F1B">
              <w:t xml:space="preserve">loads that pose a risk of injury </w:t>
            </w:r>
          </w:p>
          <w:p w:rsidR="00000000" w:rsidRPr="00424F1B" w:rsidP="00424F1B">
            <w:pPr>
              <w:pStyle w:val="ListBullet"/>
            </w:pPr>
            <w:r w:rsidRPr="00424F1B">
              <w:t>ergonomically unsoun</w:t>
            </w:r>
            <w:r w:rsidRPr="00424F1B">
              <w:t xml:space="preserve">d movements </w:t>
            </w:r>
          </w:p>
          <w:p w:rsidR="00000000" w:rsidRPr="00424F1B" w:rsidP="00424F1B">
            <w:pPr>
              <w:pStyle w:val="ListBullet"/>
            </w:pPr>
            <w:r w:rsidRPr="00424F1B">
              <w:t>hazard requirements as defined by relevant work health and safety (WHS) Acts and regulations, industry standards and best practice.</w:t>
            </w:r>
          </w:p>
          <w:p w:rsidR="00000000" w:rsidP="00424F1B">
            <w:pPr>
              <w:pStyle w:val="BodyText"/>
              <w:rPr>
                <w:lang w:val="en-NZ"/>
              </w:rPr>
            </w:pPr>
          </w:p>
        </w:tc>
      </w:tr>
      <w:tr w:rsidTr="00424F1B">
        <w:tblPrEx>
          <w:tblW w:w="0" w:type="auto"/>
          <w:tblLayout w:type="fixed"/>
          <w:tblCellMar>
            <w:left w:w="62" w:type="dxa"/>
            <w:right w:w="62" w:type="dxa"/>
          </w:tblCellMar>
          <w:tblLook w:val="0000"/>
        </w:tblPrEx>
        <w:tc>
          <w:tcPr>
            <w:tcW w:w="2231" w:type="dxa"/>
            <w:tcBorders>
              <w:top w:val="nil"/>
              <w:left w:val="nil"/>
              <w:bottom w:val="nil"/>
              <w:right w:val="nil"/>
            </w:tcBorders>
            <w:tcMar>
              <w:top w:w="0" w:type="dxa"/>
              <w:left w:w="62" w:type="dxa"/>
              <w:bottom w:w="0" w:type="dxa"/>
              <w:right w:w="62" w:type="dxa"/>
            </w:tcMar>
          </w:tcPr>
          <w:p w:rsidR="00000000" w:rsidP="00424F1B">
            <w:pPr>
              <w:pStyle w:val="BodyText"/>
              <w:rPr>
                <w:lang w:val="en-NZ"/>
              </w:rPr>
            </w:pPr>
            <w:r w:rsidRPr="00424F1B">
              <w:rPr>
                <w:rStyle w:val="SpecialBold"/>
              </w:rPr>
              <w:t>Ergonomically unsound movements include one or more of</w:t>
            </w:r>
          </w:p>
        </w:tc>
        <w:tc>
          <w:tcPr>
            <w:tcW w:w="6841" w:type="dxa"/>
            <w:tcBorders>
              <w:top w:val="nil"/>
              <w:left w:val="nil"/>
              <w:bottom w:val="nil"/>
              <w:right w:val="nil"/>
            </w:tcBorders>
            <w:tcMar>
              <w:top w:w="0" w:type="dxa"/>
              <w:left w:w="62" w:type="dxa"/>
              <w:bottom w:w="0" w:type="dxa"/>
              <w:right w:w="62" w:type="dxa"/>
            </w:tcMar>
          </w:tcPr>
          <w:p w:rsidR="00000000" w:rsidRPr="00424F1B" w:rsidP="00424F1B">
            <w:pPr>
              <w:pStyle w:val="ListBullet"/>
            </w:pPr>
            <w:r w:rsidRPr="00424F1B">
              <w:t>awkward and repetitive movements</w:t>
            </w:r>
          </w:p>
          <w:p w:rsidR="00000000" w:rsidRPr="00424F1B" w:rsidP="00424F1B">
            <w:pPr>
              <w:pStyle w:val="ListBullet"/>
            </w:pPr>
            <w:r w:rsidRPr="00424F1B">
              <w:t>carrying, pushing, pulling or lifting of heavy loads</w:t>
            </w:r>
          </w:p>
          <w:p w:rsidR="00000000" w:rsidRPr="00424F1B" w:rsidP="00424F1B">
            <w:pPr>
              <w:pStyle w:val="ListBullet"/>
            </w:pPr>
            <w:r w:rsidRPr="00424F1B">
              <w:t>carrying or movement of hard, sharp, slippery or other difficult to grasp loads.</w:t>
            </w:r>
          </w:p>
          <w:p w:rsidR="00000000" w:rsidP="00424F1B">
            <w:pPr>
              <w:pStyle w:val="BodyText"/>
              <w:rPr>
                <w:lang w:val="en-NZ"/>
              </w:rPr>
            </w:pPr>
          </w:p>
        </w:tc>
      </w:tr>
      <w:tr w:rsidTr="00424F1B">
        <w:tblPrEx>
          <w:tblW w:w="0" w:type="auto"/>
          <w:tblLayout w:type="fixed"/>
          <w:tblCellMar>
            <w:left w:w="62" w:type="dxa"/>
            <w:right w:w="62" w:type="dxa"/>
          </w:tblCellMar>
          <w:tblLook w:val="0000"/>
        </w:tblPrEx>
        <w:trPr>
          <w:trHeight w:val="1444"/>
        </w:trPr>
        <w:tc>
          <w:tcPr>
            <w:tcW w:w="2231" w:type="dxa"/>
            <w:tcBorders>
              <w:top w:val="nil"/>
              <w:left w:val="nil"/>
              <w:bottom w:val="nil"/>
              <w:right w:val="nil"/>
            </w:tcBorders>
            <w:tcMar>
              <w:top w:w="0" w:type="dxa"/>
              <w:left w:w="62" w:type="dxa"/>
              <w:bottom w:w="0" w:type="dxa"/>
              <w:right w:w="62" w:type="dxa"/>
            </w:tcMar>
          </w:tcPr>
          <w:p w:rsidR="00000000" w:rsidP="00424F1B">
            <w:pPr>
              <w:pStyle w:val="BodyText"/>
              <w:rPr>
                <w:lang w:val="en-NZ"/>
              </w:rPr>
            </w:pPr>
            <w:r w:rsidRPr="00424F1B">
              <w:rPr>
                <w:rStyle w:val="SpecialBold"/>
              </w:rPr>
              <w:t>Ergonomically sound movements include one or more of</w:t>
            </w:r>
          </w:p>
        </w:tc>
        <w:tc>
          <w:tcPr>
            <w:tcW w:w="6841" w:type="dxa"/>
            <w:tcBorders>
              <w:top w:val="nil"/>
              <w:left w:val="nil"/>
              <w:bottom w:val="nil"/>
              <w:right w:val="nil"/>
            </w:tcBorders>
            <w:tcMar>
              <w:top w:w="0" w:type="dxa"/>
              <w:left w:w="62" w:type="dxa"/>
              <w:bottom w:w="0" w:type="dxa"/>
              <w:right w:w="62" w:type="dxa"/>
            </w:tcMar>
          </w:tcPr>
          <w:p w:rsidR="00000000" w:rsidRPr="00424F1B" w:rsidP="00424F1B">
            <w:pPr>
              <w:pStyle w:val="ListBullet"/>
            </w:pPr>
            <w:r w:rsidRPr="00424F1B">
              <w:t>keeping loads close to the body and near the person</w:t>
            </w:r>
            <w:r>
              <w:t>’</w:t>
            </w:r>
            <w:r w:rsidRPr="00424F1B">
              <w:t>s centre of gr</w:t>
            </w:r>
            <w:r w:rsidRPr="00424F1B">
              <w:t>avity</w:t>
            </w:r>
          </w:p>
          <w:p w:rsidR="00000000" w:rsidRPr="00424F1B" w:rsidP="00424F1B">
            <w:pPr>
              <w:pStyle w:val="ListBullet"/>
            </w:pPr>
            <w:r w:rsidRPr="00424F1B">
              <w:t>using diagonal foot positions for lifting</w:t>
            </w:r>
          </w:p>
          <w:p w:rsidR="00000000" w:rsidRPr="00424F1B" w:rsidP="00424F1B">
            <w:pPr>
              <w:pStyle w:val="ListBullet"/>
            </w:pPr>
            <w:r w:rsidRPr="00424F1B">
              <w:t>moving loads at waist height rather than directly from the floor.</w:t>
            </w:r>
          </w:p>
          <w:p w:rsidR="00000000" w:rsidRPr="00424F1B" w:rsidP="00424F1B">
            <w:pPr>
              <w:pStyle w:val="BodyText"/>
            </w:pPr>
          </w:p>
        </w:tc>
      </w:tr>
    </w:tbl>
    <w:p w:rsidR="00000000" w:rsidRPr="00424F1B" w:rsidP="00424F1B">
      <w:pPr>
        <w:pStyle w:val="BodyText"/>
      </w:pPr>
    </w:p>
    <w:p w:rsidR="00000000" w:rsidRPr="00424F1B" w:rsidP="00424F1B">
      <w:pPr>
        <w:pStyle w:val="AllowPageBreak"/>
      </w:pPr>
    </w:p>
    <w:p w:rsidR="00000000" w:rsidRPr="00424F1B" w:rsidP="00424F1B">
      <w:pPr>
        <w:pStyle w:val="Heading1"/>
      </w:pPr>
      <w:bookmarkStart w:id="9" w:name="O_920588"/>
      <w:bookmarkEnd w:id="9"/>
      <w:r w:rsidRPr="00424F1B">
        <w:t>Unit Mapping Information</w:t>
      </w:r>
    </w:p>
    <w:p w:rsidR="00000000" w:rsidRPr="00424F1B" w:rsidP="003770D3">
      <w:pPr>
        <w:pStyle w:val="BodyText"/>
      </w:pPr>
      <w:r w:rsidRPr="00424F1B">
        <w:t>Release 1. Supersedes and is equivalent to MSS403032A Analyse manual handling processes</w:t>
      </w:r>
    </w:p>
    <w:p w:rsidR="00000000" w:rsidRPr="00424F1B" w:rsidP="00424F1B">
      <w:pPr>
        <w:pStyle w:val="Heading1"/>
      </w:pPr>
      <w:bookmarkStart w:id="10" w:name="O_920581"/>
      <w:bookmarkEnd w:id="10"/>
      <w:r w:rsidRPr="00424F1B">
        <w:t>Links</w:t>
      </w:r>
    </w:p>
    <w:p w:rsidR="00000000" w:rsidRPr="00424F1B" w:rsidP="003770D3">
      <w:pPr>
        <w:pStyle w:val="BodyText"/>
      </w:pPr>
      <w:r w:rsidRPr="00424F1B">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B66F6C">
        <w:rPr>
          <w:rStyle w:val="Hyperlink"/>
        </w:rPr>
        <w:t>https://vetnet.gov.au/Pages/TrainingDocs.aspx?q=5b04f318-804f-4dc0-9463-c3fb9a3fe998</w:t>
      </w:r>
      <w:r>
        <w:fldChar w:fldCharType="end"/>
      </w:r>
    </w:p>
    <w:p w:rsidR="00000000" w:rsidRPr="00424F1B" w:rsidP="003770D3">
      <w:pPr>
        <w:pStyle w:val="BodyText"/>
        <w:sectPr w:rsidSect="00424F1B">
          <w:headerReference w:type="default" r:id="rId10"/>
          <w:footerReference w:type="default" r:id="rId11"/>
          <w:pgSz w:w="11908" w:h="16833"/>
          <w:pgMar w:top="1702" w:right="1418" w:bottom="1702" w:left="1418" w:header="992" w:footer="992" w:gutter="0"/>
          <w:cols w:space="720"/>
          <w:noEndnote/>
          <w:docGrid w:linePitch="299"/>
        </w:sectPr>
      </w:pPr>
    </w:p>
    <w:p w:rsidR="00000000" w:rsidRPr="00424F1B" w:rsidP="00424F1B">
      <w:pPr>
        <w:pStyle w:val="SuperHeading"/>
      </w:pPr>
      <w:r w:rsidRPr="00424F1B">
        <w:t xml:space="preserve">Assessment </w:t>
      </w:r>
      <w:r w:rsidRPr="00424F1B">
        <w:t>Requirements for MSS403032 Analyse manual handling processes</w:t>
      </w:r>
    </w:p>
    <w:p w:rsidR="00000000" w:rsidRPr="00424F1B" w:rsidP="00424F1B">
      <w:pPr>
        <w:pStyle w:val="Heading1"/>
      </w:pPr>
      <w:bookmarkStart w:id="11" w:name="O_920583"/>
      <w:bookmarkEnd w:id="11"/>
      <w:r w:rsidRPr="00424F1B">
        <w:t>Modification History</w:t>
      </w:r>
    </w:p>
    <w:p w:rsidR="00000000" w:rsidRPr="00424F1B" w:rsidP="003770D3">
      <w:pPr>
        <w:pStyle w:val="BodyText"/>
      </w:pPr>
      <w:r w:rsidRPr="00424F1B">
        <w:t>Release 1. Supersedes and is equivalent to MSS403032A Analyse manual handling processes</w:t>
      </w:r>
    </w:p>
    <w:p w:rsidR="00000000" w:rsidRPr="00424F1B" w:rsidP="00424F1B">
      <w:pPr>
        <w:pStyle w:val="Heading1"/>
      </w:pPr>
      <w:bookmarkStart w:id="12" w:name="O_920586"/>
      <w:bookmarkEnd w:id="12"/>
      <w:r w:rsidRPr="00424F1B">
        <w:t>Performance Evidence</w:t>
      </w:r>
    </w:p>
    <w:p w:rsidR="00000000" w:rsidRPr="00424F1B" w:rsidP="003770D3">
      <w:pPr>
        <w:pStyle w:val="BodyText"/>
      </w:pPr>
      <w:r w:rsidRPr="00424F1B">
        <w:t>Evidence required to demonstrate</w:t>
      </w:r>
      <w:r w:rsidRPr="00424F1B">
        <w:t xml:space="preserve"> competence in this unit must be relevant to and satisfy the requirements of the elements and performance criteria and include the ability, for at least (1) one job/process, to:</w:t>
      </w:r>
    </w:p>
    <w:p w:rsidR="00000000" w:rsidRPr="00424F1B" w:rsidP="00424F1B">
      <w:pPr>
        <w:pStyle w:val="ListBullet2"/>
      </w:pPr>
      <w:r w:rsidRPr="00424F1B">
        <w:t>analyse manual handling requirements and risks</w:t>
      </w:r>
    </w:p>
    <w:p w:rsidR="00000000" w:rsidRPr="00424F1B" w:rsidP="00424F1B">
      <w:pPr>
        <w:pStyle w:val="ListBullet2"/>
      </w:pPr>
      <w:r w:rsidRPr="00424F1B">
        <w:t>distinguish between ergonomically sound and unsound movement</w:t>
      </w:r>
    </w:p>
    <w:p w:rsidR="00000000" w:rsidRPr="00424F1B" w:rsidP="00424F1B">
      <w:pPr>
        <w:pStyle w:val="ListBullet2"/>
      </w:pPr>
      <w:r w:rsidRPr="00424F1B">
        <w:t>analyse manual handling movements and risks for an individual</w:t>
      </w:r>
    </w:p>
    <w:p w:rsidR="00000000" w:rsidRPr="00424F1B" w:rsidP="00424F1B">
      <w:pPr>
        <w:pStyle w:val="ListBullet2"/>
      </w:pPr>
      <w:r w:rsidRPr="00424F1B">
        <w:t>relate manual handling requirements to job efficiency.</w:t>
      </w:r>
    </w:p>
    <w:p w:rsidR="00000000" w:rsidRPr="00424F1B" w:rsidP="00424F1B">
      <w:pPr>
        <w:pStyle w:val="AllowPageBreak"/>
      </w:pPr>
    </w:p>
    <w:p w:rsidR="00000000" w:rsidRPr="00424F1B" w:rsidP="00424F1B">
      <w:pPr>
        <w:pStyle w:val="Heading1"/>
      </w:pPr>
      <w:bookmarkStart w:id="13" w:name="O_920585"/>
      <w:bookmarkEnd w:id="13"/>
      <w:r w:rsidRPr="00424F1B">
        <w:t>Knowledge Evidence</w:t>
      </w:r>
    </w:p>
    <w:p w:rsidR="00000000" w:rsidRPr="00424F1B" w:rsidP="00424F1B">
      <w:pPr>
        <w:pStyle w:val="ListBullet"/>
      </w:pPr>
      <w:r w:rsidRPr="00424F1B">
        <w:t>Must provide evidence that demonstrates k</w:t>
      </w:r>
      <w:r w:rsidRPr="00424F1B">
        <w:t>nowledge relevant to their job role sufficient to fulfil their job role independently, including:</w:t>
      </w:r>
    </w:p>
    <w:p w:rsidR="00000000" w:rsidRPr="00424F1B" w:rsidP="00424F1B">
      <w:pPr>
        <w:pStyle w:val="ListBullet"/>
      </w:pPr>
      <w:r w:rsidRPr="00424F1B">
        <w:t>principles of ergonomics/safe movement</w:t>
      </w:r>
    </w:p>
    <w:p w:rsidR="00000000" w:rsidRPr="00424F1B" w:rsidP="00424F1B">
      <w:pPr>
        <w:pStyle w:val="ListBullet"/>
      </w:pPr>
      <w:r w:rsidRPr="00424F1B">
        <w:t>principles of work analysis</w:t>
      </w:r>
    </w:p>
    <w:p w:rsidR="00000000" w:rsidRPr="00424F1B" w:rsidP="00424F1B">
      <w:pPr>
        <w:pStyle w:val="ListBullet"/>
      </w:pPr>
      <w:r w:rsidRPr="00424F1B">
        <w:t>relevant work health and safety (WHS) Acts and regulations as they apply to manual handling</w:t>
      </w:r>
    </w:p>
    <w:p w:rsidR="00000000" w:rsidRPr="00424F1B" w:rsidP="00424F1B">
      <w:pPr>
        <w:pStyle w:val="ListBullet"/>
      </w:pPr>
      <w:r w:rsidRPr="00424F1B">
        <w:t>principles of job and work method design as applied to efficient and safe movement</w:t>
      </w:r>
    </w:p>
    <w:p w:rsidR="00000000" w:rsidRPr="00424F1B" w:rsidP="00424F1B">
      <w:pPr>
        <w:pStyle w:val="ListBullet"/>
      </w:pPr>
      <w:r w:rsidRPr="00424F1B">
        <w:t>aids that can assist with or substitute for manual handling.</w:t>
      </w:r>
    </w:p>
    <w:p w:rsidR="00000000" w:rsidRPr="00424F1B" w:rsidP="00424F1B">
      <w:pPr>
        <w:pStyle w:val="AllowPageBreak"/>
      </w:pPr>
    </w:p>
    <w:p w:rsidR="00000000" w:rsidRPr="00424F1B" w:rsidP="00424F1B">
      <w:pPr>
        <w:pStyle w:val="Heading1"/>
      </w:pPr>
      <w:bookmarkStart w:id="14" w:name="O_920584"/>
      <w:bookmarkEnd w:id="14"/>
      <w:r w:rsidRPr="00424F1B">
        <w:t>Assessment Conditions</w:t>
      </w:r>
    </w:p>
    <w:p w:rsidR="00000000" w:rsidRPr="00424F1B" w:rsidP="00424F1B">
      <w:pPr>
        <w:pStyle w:val="ListBullet"/>
      </w:pPr>
      <w:r w:rsidRPr="00424F1B">
        <w:t>The unit should be assessed holistically and the judgement of competence shall be based on a holistic assessment of the evidence.</w:t>
      </w:r>
    </w:p>
    <w:p w:rsidR="00000000" w:rsidRPr="00424F1B" w:rsidP="00424F1B">
      <w:pPr>
        <w:pStyle w:val="ListBullet"/>
      </w:pPr>
      <w:r w:rsidRPr="00424F1B">
        <w:t>The collection of performance evidence:</w:t>
      </w:r>
    </w:p>
    <w:p w:rsidR="00000000" w:rsidRPr="00424F1B" w:rsidP="00424F1B">
      <w:pPr>
        <w:pStyle w:val="ListBullet2"/>
      </w:pPr>
      <w:r w:rsidRPr="00424F1B">
        <w:t xml:space="preserve">should occur over a range of situations which include typical disruptions to normal, </w:t>
      </w:r>
      <w:r w:rsidRPr="00424F1B">
        <w:t>smooth operation of the workplace</w:t>
      </w:r>
    </w:p>
    <w:p w:rsidR="00000000" w:rsidRPr="00424F1B" w:rsidP="00424F1B">
      <w:pPr>
        <w:pStyle w:val="ListBullet2"/>
      </w:pPr>
      <w:r w:rsidRPr="00424F1B">
        <w:t>will typically include a supervisor/third-party report focussing on consistent performance and problem recognition and solving. A supervisor/third-party report must be prepared by someone who has a direct, relevant, curren</w:t>
      </w:r>
      <w:r w:rsidRPr="00424F1B">
        <w:t xml:space="preserve">t relationship with the person being assessed and who is in a position to form a judgement on workplace performance relevant to the unit of competency </w:t>
      </w:r>
    </w:p>
    <w:p w:rsidR="00000000" w:rsidRPr="00424F1B" w:rsidP="00424F1B">
      <w:pPr>
        <w:pStyle w:val="ListBullet2"/>
      </w:pPr>
      <w:r w:rsidRPr="00424F1B">
        <w:t>must include analysing manual handling processes in own workplace</w:t>
      </w:r>
    </w:p>
    <w:p w:rsidR="00000000" w:rsidRPr="00424F1B" w:rsidP="00424F1B">
      <w:pPr>
        <w:pStyle w:val="ListBullet2"/>
      </w:pPr>
      <w:r w:rsidRPr="00424F1B">
        <w:t>will typically include the use of appr</w:t>
      </w:r>
      <w:r w:rsidRPr="00424F1B">
        <w:t>opriate manual handling guides, tools, equipment and safety gear requiring demonstration of preparation, operation, completion and responding to problems.</w:t>
      </w:r>
    </w:p>
    <w:p w:rsidR="00000000" w:rsidRPr="00424F1B" w:rsidP="00424F1B">
      <w:pPr>
        <w:pStyle w:val="ListBullet"/>
      </w:pPr>
      <w:r w:rsidRPr="00424F1B">
        <w:t xml:space="preserve">Assessment should occur in operational workplace situations. </w:t>
      </w:r>
    </w:p>
    <w:p w:rsidR="00000000" w:rsidRPr="00424F1B" w:rsidP="00424F1B">
      <w:pPr>
        <w:pStyle w:val="ListBullet"/>
      </w:pPr>
      <w:r w:rsidRPr="00424F1B">
        <w:t>Knowledge evidence may be collected co</w:t>
      </w:r>
      <w:r w:rsidRPr="00424F1B">
        <w:t>ncurrently with performance evidence (provided a record is kept) or through an independent process such as workbooks, written assessments or interviews (provided a record is kept).</w:t>
      </w:r>
    </w:p>
    <w:p w:rsidR="00000000" w:rsidRPr="00424F1B" w:rsidP="00424F1B">
      <w:pPr>
        <w:pStyle w:val="ListBullet"/>
      </w:pPr>
      <w:r w:rsidRPr="00424F1B">
        <w:t>Assessment processes and techniques must be appropriate to the language, li</w:t>
      </w:r>
      <w:r w:rsidRPr="00424F1B">
        <w:t>teracy and numeracy requirements of the work being performed and the needs of the candidate.</w:t>
      </w:r>
    </w:p>
    <w:p w:rsidR="00000000" w:rsidRPr="00424F1B" w:rsidP="00424F1B">
      <w:pPr>
        <w:pStyle w:val="ListBullet"/>
      </w:pPr>
      <w:r w:rsidRPr="00424F1B">
        <w:t>Conditions for assessment must include access to all tools, equipment, materials and documentation required, including relevant workplace procedures, product and m</w:t>
      </w:r>
      <w:r w:rsidRPr="00424F1B">
        <w:t>anufacturing specifications associated with this unit.</w:t>
      </w:r>
    </w:p>
    <w:p w:rsidR="00000000" w:rsidRPr="00424F1B" w:rsidP="00424F1B">
      <w:pPr>
        <w:pStyle w:val="ListBullet"/>
      </w:pPr>
      <w:r w:rsidRPr="00424F1B">
        <w:t>Foundation skills are integral to competent performance of the unit and should not be assessed separately.</w:t>
      </w:r>
    </w:p>
    <w:p w:rsidR="00000000" w:rsidRPr="00424F1B" w:rsidP="00424F1B">
      <w:pPr>
        <w:pStyle w:val="ListBullet"/>
      </w:pPr>
      <w:r w:rsidRPr="00424F1B">
        <w:t>Assessors must satisfy the assessor competency requirements that are in place at the time of t</w:t>
      </w:r>
      <w:r w:rsidRPr="00424F1B">
        <w:t xml:space="preserve">he assessment as set by the VET regulator.  </w:t>
      </w:r>
    </w:p>
    <w:p w:rsidR="00000000" w:rsidRPr="00424F1B" w:rsidP="00424F1B">
      <w:pPr>
        <w:pStyle w:val="ListBullet"/>
      </w:pPr>
      <w:r w:rsidRPr="00424F1B">
        <w:t>The assessor must demonstrate both technical competency and currency.</w:t>
      </w:r>
    </w:p>
    <w:p w:rsidR="00000000" w:rsidRPr="00424F1B" w:rsidP="00424F1B">
      <w:pPr>
        <w:pStyle w:val="ListBullet"/>
      </w:pPr>
      <w:r w:rsidRPr="00424F1B">
        <w:t>Technical competence can be demonstrated through:</w:t>
      </w:r>
    </w:p>
    <w:p w:rsidR="00000000" w:rsidRPr="00424F1B" w:rsidP="00424F1B">
      <w:pPr>
        <w:pStyle w:val="ListBullet2"/>
      </w:pPr>
      <w:r w:rsidRPr="00424F1B">
        <w:t>relevant VET or other qualification/Statement of Attainment AND/OR</w:t>
      </w:r>
    </w:p>
    <w:p w:rsidR="00000000" w:rsidRPr="00424F1B" w:rsidP="00424F1B">
      <w:pPr>
        <w:pStyle w:val="ListBullet2"/>
      </w:pPr>
      <w:r w:rsidRPr="00424F1B">
        <w:t xml:space="preserve">relevant workplace experience </w:t>
      </w:r>
    </w:p>
    <w:p w:rsidR="00000000" w:rsidRPr="00424F1B" w:rsidP="00424F1B">
      <w:pPr>
        <w:pStyle w:val="ListBullet"/>
      </w:pPr>
      <w:r w:rsidRPr="00424F1B">
        <w:t>Currency can be demonstrated through:</w:t>
      </w:r>
    </w:p>
    <w:p w:rsidR="00000000" w:rsidRPr="00424F1B" w:rsidP="00424F1B">
      <w:pPr>
        <w:pStyle w:val="ListBullet2"/>
      </w:pPr>
      <w:r w:rsidRPr="00424F1B">
        <w:t>performing the competency being assessed as part of current employment OR</w:t>
      </w:r>
    </w:p>
    <w:p w:rsidR="00000000" w:rsidRPr="00424F1B" w:rsidP="00424F1B">
      <w:pPr>
        <w:pStyle w:val="ListBullet2"/>
      </w:pPr>
      <w:r w:rsidRPr="00424F1B">
        <w:t>having consulted with an organisation providing relevant environmental monitoring, management or technology ser</w:t>
      </w:r>
      <w:r w:rsidRPr="00424F1B">
        <w:t>vices about performing the competency being assessed within the last twelve months.</w:t>
      </w:r>
    </w:p>
    <w:p w:rsidR="00000000" w:rsidRPr="00424F1B" w:rsidP="00424F1B">
      <w:pPr>
        <w:pStyle w:val="AllowPageBreak"/>
      </w:pPr>
    </w:p>
    <w:p w:rsidR="00000000" w:rsidRPr="00424F1B" w:rsidP="00424F1B">
      <w:pPr>
        <w:pStyle w:val="Heading1"/>
      </w:pPr>
      <w:bookmarkStart w:id="15" w:name="O_920582"/>
      <w:bookmarkEnd w:id="15"/>
      <w:r w:rsidRPr="00424F1B">
        <w:t>Links</w:t>
      </w:r>
    </w:p>
    <w:p w:rsidR="00000000" w:rsidRPr="00424F1B" w:rsidP="003770D3">
      <w:pPr>
        <w:pStyle w:val="BodyText"/>
      </w:pPr>
      <w:r w:rsidRPr="00424F1B">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B66F6C">
        <w:rPr>
          <w:rStyle w:val="Hyperlink"/>
        </w:rPr>
        <w:t>https://vetnet.gov.au/Pages/TrainingDocs.aspx?q=5b04f318-804f-4dc0-9463-c3fb9a3fe998</w:t>
      </w:r>
      <w:r>
        <w:fldChar w:fldCharType="end"/>
      </w:r>
    </w:p>
    <w:p w:rsidR="00000000" w:rsidRPr="00424F1B" w:rsidP="00424F1B"/>
    <w:sectPr w:rsidSect="00424F1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F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F1B" w:rsidRPr="003770D3" w:rsidP="003770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F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0D3" w:rsidP="00424F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770D3" w:rsidP="00424F1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3770D3" w:rsidP="00424F1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F1B" w:rsidP="00424F1B">
    <w:pPr>
      <w:pStyle w:val="Footer"/>
      <w:framePr w:wrap="around"/>
    </w:pPr>
    <w:r>
      <w:fldChar w:fldCharType="begin"/>
    </w:r>
    <w:r>
      <w:instrText xml:space="preserve"> DOCPROPERTY  Subject  \* MERGEFORMAT </w:instrText>
    </w:r>
    <w:r>
      <w:fldChar w:fldCharType="separate"/>
    </w:r>
    <w:r w:rsidR="003770D3">
      <w:t>Approved</w:t>
    </w:r>
    <w:r w:rsidR="003770D3">
      <w:fldChar w:fldCharType="end"/>
    </w:r>
    <w:r>
      <w:tab/>
      <w:t xml:space="preserve">Page </w:t>
    </w:r>
    <w:r>
      <w:fldChar w:fldCharType="begin"/>
    </w:r>
    <w:r>
      <w:instrText xml:space="preserve"> PAGE  \* Arabic  \* MERGEFORMAT </w:instrText>
    </w:r>
    <w:r>
      <w:fldChar w:fldCharType="separate"/>
    </w:r>
    <w:r w:rsidR="003770D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770D3">
      <w:rPr>
        <w:noProof/>
      </w:rPr>
      <w:t>5</w:t>
    </w:r>
    <w:r>
      <w:rPr>
        <w:noProof/>
      </w:rPr>
      <w:fldChar w:fldCharType="end"/>
    </w:r>
  </w:p>
  <w:p w:rsidR="00424F1B" w:rsidP="00424F1B">
    <w:pPr>
      <w:pStyle w:val="Footer"/>
      <w:framePr w:wrap="around"/>
    </w:pPr>
    <w:r>
      <w:t xml:space="preserve">© Commonwealth of Australia, </w:t>
    </w:r>
    <w:r>
      <w:fldChar w:fldCharType="begin"/>
    </w:r>
    <w:r>
      <w:instrText xml:space="preserve"> DATE  \@ "yyyy"  \* MERGEFORMAT </w:instrText>
    </w:r>
    <w:r>
      <w:fldChar w:fldCharType="separate"/>
    </w:r>
    <w:r w:rsidR="003770D3">
      <w:rPr>
        <w:noProof/>
      </w:rPr>
      <w:t>2025</w:t>
    </w:r>
    <w:r>
      <w:fldChar w:fldCharType="end"/>
    </w:r>
    <w:r>
      <w:tab/>
    </w:r>
    <w:r>
      <w:fldChar w:fldCharType="begin"/>
    </w:r>
    <w:r>
      <w:instrText xml:space="preserve"> DOCPROPERTY  Author  \* MERGEFORMAT </w:instrText>
    </w:r>
    <w:r>
      <w:fldChar w:fldCharType="separate"/>
    </w:r>
    <w:r w:rsidR="003770D3">
      <w:t>Manufacturing Industry Skills Alliance</w:t>
    </w:r>
    <w:r w:rsidR="003770D3">
      <w:fldChar w:fldCharType="end"/>
    </w:r>
  </w:p>
  <w:p w:rsidR="00424F1B" w:rsidP="00424F1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F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0D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24F1B" w:rsidRPr="003770D3" w:rsidP="003770D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F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0D3" w:rsidRPr="002D2AF8" w:rsidP="00424F1B">
    <w:pPr>
      <w:pStyle w:val="Header"/>
      <w:framePr w:wrap="around"/>
    </w:pPr>
    <w:r>
      <w:fldChar w:fldCharType="begin"/>
    </w:r>
    <w:r>
      <w:instrText xml:space="preserve"> TITLE   \* MERGEFORMAT </w:instrText>
    </w:r>
    <w:r>
      <w:fldChar w:fldCharType="separate"/>
    </w:r>
    <w:r>
      <w:t>MSS403032 Analyse manual handling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770D3" w:rsidP="00424F1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F1B" w:rsidRPr="002D2AF8" w:rsidP="00424F1B">
    <w:pPr>
      <w:pStyle w:val="Header"/>
      <w:framePr w:wrap="around"/>
    </w:pPr>
    <w:r>
      <w:fldChar w:fldCharType="begin"/>
    </w:r>
    <w:r>
      <w:instrText xml:space="preserve"> TITLE   \* MERGEFORMAT </w:instrText>
    </w:r>
    <w:r>
      <w:fldChar w:fldCharType="separate"/>
    </w:r>
    <w:r w:rsidR="003770D3">
      <w:t>MSS403032 Analyse manual handling processes</w:t>
    </w:r>
    <w:r w:rsidR="003770D3">
      <w:fldChar w:fldCharType="end"/>
    </w:r>
    <w:r>
      <w:tab/>
      <w:t xml:space="preserve">Date this document was generated: </w:t>
    </w:r>
    <w:r>
      <w:fldChar w:fldCharType="begin"/>
    </w:r>
    <w:r>
      <w:instrText xml:space="preserve"> CREATEDATE  \@ "d MMMM yyyy"  \* MERGEFORMAT </w:instrText>
    </w:r>
    <w:r>
      <w:fldChar w:fldCharType="separate"/>
    </w:r>
    <w:r w:rsidR="003770D3">
      <w:rPr>
        <w:noProof/>
      </w:rPr>
      <w:t>2 March 2025</w:t>
    </w:r>
    <w:r>
      <w:fldChar w:fldCharType="end"/>
    </w:r>
  </w:p>
  <w:p w:rsidR="00424F1B" w:rsidP="00424F1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61ED7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76A05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D5C5C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4F1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4F1B"/>
    <w:pPr>
      <w:spacing w:before="360" w:after="60"/>
      <w:outlineLvl w:val="0"/>
    </w:pPr>
    <w:rPr>
      <w:sz w:val="32"/>
    </w:rPr>
  </w:style>
  <w:style w:type="paragraph" w:styleId="Heading2">
    <w:name w:val="heading 2"/>
    <w:basedOn w:val="HeadingBase"/>
    <w:next w:val="BodyText"/>
    <w:link w:val="Heading2Char"/>
    <w:qFormat/>
    <w:rsid w:val="00424F1B"/>
    <w:pPr>
      <w:keepLines/>
      <w:spacing w:before="240" w:after="120"/>
      <w:outlineLvl w:val="1"/>
    </w:pPr>
    <w:rPr>
      <w:sz w:val="28"/>
      <w:szCs w:val="40"/>
    </w:rPr>
  </w:style>
  <w:style w:type="paragraph" w:styleId="Heading3">
    <w:name w:val="heading 3"/>
    <w:basedOn w:val="HeadingBase"/>
    <w:next w:val="BodyText"/>
    <w:link w:val="Heading3Char"/>
    <w:qFormat/>
    <w:rsid w:val="00424F1B"/>
    <w:pPr>
      <w:spacing w:before="180" w:after="120"/>
      <w:outlineLvl w:val="2"/>
    </w:pPr>
    <w:rPr>
      <w:spacing w:val="-10"/>
      <w:kern w:val="32"/>
    </w:rPr>
  </w:style>
  <w:style w:type="paragraph" w:styleId="Heading4">
    <w:name w:val="heading 4"/>
    <w:basedOn w:val="HeadingBase"/>
    <w:next w:val="BodyText"/>
    <w:link w:val="Heading4Char"/>
    <w:qFormat/>
    <w:rsid w:val="00424F1B"/>
    <w:pPr>
      <w:spacing w:before="160" w:after="120"/>
      <w:outlineLvl w:val="3"/>
    </w:pPr>
    <w:rPr>
      <w:sz w:val="22"/>
    </w:rPr>
  </w:style>
  <w:style w:type="paragraph" w:styleId="Heading5">
    <w:name w:val="heading 5"/>
    <w:basedOn w:val="HeadingBase"/>
    <w:next w:val="Normal"/>
    <w:link w:val="Heading5Char"/>
    <w:qFormat/>
    <w:rsid w:val="00424F1B"/>
    <w:pPr>
      <w:spacing w:before="80"/>
      <w:outlineLvl w:val="4"/>
    </w:pPr>
    <w:rPr>
      <w:color w:val="918585"/>
      <w:sz w:val="20"/>
    </w:rPr>
  </w:style>
  <w:style w:type="paragraph" w:styleId="Heading6">
    <w:name w:val="heading 6"/>
    <w:basedOn w:val="HeadingBase"/>
    <w:next w:val="Normal"/>
    <w:link w:val="Heading6Char"/>
    <w:qFormat/>
    <w:rsid w:val="00424F1B"/>
    <w:pPr>
      <w:spacing w:before="60"/>
      <w:outlineLvl w:val="5"/>
    </w:pPr>
    <w:rPr>
      <w:color w:val="918585"/>
      <w:sz w:val="20"/>
    </w:rPr>
  </w:style>
  <w:style w:type="paragraph" w:styleId="Heading7">
    <w:name w:val="heading 7"/>
    <w:basedOn w:val="Normal"/>
    <w:next w:val="Normal"/>
    <w:link w:val="Heading7Char"/>
    <w:qFormat/>
    <w:rsid w:val="00424F1B"/>
    <w:pPr>
      <w:ind w:left="720"/>
      <w:outlineLvl w:val="6"/>
    </w:pPr>
    <w:rPr>
      <w:i/>
    </w:rPr>
  </w:style>
  <w:style w:type="paragraph" w:styleId="Heading8">
    <w:name w:val="heading 8"/>
    <w:basedOn w:val="Normal"/>
    <w:next w:val="Normal"/>
    <w:link w:val="Heading8Char"/>
    <w:qFormat/>
    <w:rsid w:val="00424F1B"/>
    <w:pPr>
      <w:ind w:left="720"/>
      <w:outlineLvl w:val="7"/>
    </w:pPr>
    <w:rPr>
      <w:i/>
    </w:rPr>
  </w:style>
  <w:style w:type="paragraph" w:styleId="Heading9">
    <w:name w:val="heading 9"/>
    <w:basedOn w:val="Normal"/>
    <w:next w:val="Normal"/>
    <w:link w:val="Heading9Char"/>
    <w:qFormat/>
    <w:rsid w:val="00424F1B"/>
    <w:pPr>
      <w:ind w:left="720"/>
      <w:outlineLvl w:val="8"/>
    </w:pPr>
    <w:rPr>
      <w:i/>
    </w:rPr>
  </w:style>
  <w:style w:type="character" w:default="1" w:styleId="DefaultParagraphFont">
    <w:name w:val="Default Paragraph Font"/>
    <w:uiPriority w:val="1"/>
    <w:unhideWhenUsed/>
    <w:rsid w:val="00424F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4F1B"/>
  </w:style>
  <w:style w:type="character" w:customStyle="1" w:styleId="Heading1Char">
    <w:name w:val="Heading 1 Char"/>
    <w:basedOn w:val="DefaultParagraphFont"/>
    <w:link w:val="Heading1"/>
    <w:rsid w:val="00424F1B"/>
    <w:rPr>
      <w:rFonts w:ascii="Times New Roman" w:eastAsia="Times New Roman" w:hAnsi="Times New Roman" w:cs="Times New Roman"/>
      <w:b/>
      <w:sz w:val="32"/>
      <w:szCs w:val="20"/>
      <w:lang w:eastAsia="en-US"/>
    </w:rPr>
  </w:style>
  <w:style w:type="paragraph" w:styleId="BodyText">
    <w:name w:val="Body Text"/>
    <w:basedOn w:val="Normal"/>
    <w:link w:val="BodyTextChar"/>
    <w:rsid w:val="00424F1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24F1B"/>
    <w:rPr>
      <w:rFonts w:ascii="Times New Roman" w:eastAsia="Times New Roman" w:hAnsi="Times New Roman" w:cs="Times New Roman"/>
      <w:sz w:val="24"/>
      <w:lang w:eastAsia="en-US"/>
    </w:rPr>
  </w:style>
  <w:style w:type="paragraph" w:styleId="ListBullet">
    <w:name w:val="List Bullet"/>
    <w:basedOn w:val="List"/>
    <w:rsid w:val="00424F1B"/>
    <w:pPr>
      <w:numPr>
        <w:numId w:val="12"/>
      </w:numPr>
      <w:tabs>
        <w:tab w:val="clear" w:pos="340"/>
      </w:tabs>
      <w:spacing w:before="40" w:after="40"/>
    </w:pPr>
  </w:style>
  <w:style w:type="character" w:customStyle="1" w:styleId="SpecialBold">
    <w:name w:val="Special Bold"/>
    <w:basedOn w:val="DefaultParagraphFont"/>
    <w:rsid w:val="00424F1B"/>
    <w:rPr>
      <w:b/>
      <w:spacing w:val="0"/>
    </w:rPr>
  </w:style>
  <w:style w:type="paragraph" w:styleId="ListBullet2">
    <w:name w:val="List Bullet 2"/>
    <w:basedOn w:val="List2"/>
    <w:rsid w:val="00424F1B"/>
    <w:pPr>
      <w:numPr>
        <w:numId w:val="13"/>
      </w:numPr>
      <w:tabs>
        <w:tab w:val="clear" w:pos="680"/>
      </w:tabs>
    </w:pPr>
  </w:style>
  <w:style w:type="paragraph" w:customStyle="1" w:styleId="SuperHeading">
    <w:name w:val="SuperHeading"/>
    <w:basedOn w:val="Normal"/>
    <w:rsid w:val="00424F1B"/>
    <w:pPr>
      <w:spacing w:before="240" w:after="120"/>
      <w:outlineLvl w:val="0"/>
    </w:pPr>
    <w:rPr>
      <w:rFonts w:ascii="Times New Roman" w:hAnsi="Times New Roman"/>
      <w:b/>
      <w:sz w:val="32"/>
    </w:rPr>
  </w:style>
  <w:style w:type="paragraph" w:customStyle="1" w:styleId="AllowPageBreak">
    <w:name w:val="AllowPageBreak"/>
    <w:rsid w:val="00424F1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24F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4F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4F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4F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4F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4F1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4F1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4F1B"/>
    <w:rPr>
      <w:rFonts w:ascii="Courier New" w:eastAsia="Times New Roman" w:hAnsi="Courier New" w:cs="Times New Roman"/>
      <w:i/>
      <w:szCs w:val="20"/>
      <w:lang w:eastAsia="en-US"/>
    </w:rPr>
  </w:style>
  <w:style w:type="paragraph" w:customStyle="1" w:styleId="HeadingBase">
    <w:name w:val="Heading Base"/>
    <w:rsid w:val="00424F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4F1B"/>
    <w:pPr>
      <w:tabs>
        <w:tab w:val="right" w:leader="dot" w:pos="9072"/>
      </w:tabs>
      <w:ind w:left="567"/>
    </w:pPr>
    <w:rPr>
      <w:szCs w:val="22"/>
    </w:rPr>
  </w:style>
  <w:style w:type="paragraph" w:customStyle="1" w:styleId="TOCBase">
    <w:name w:val="TOC Base"/>
    <w:rsid w:val="00424F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4F1B"/>
    <w:pPr>
      <w:tabs>
        <w:tab w:val="right" w:leader="dot" w:pos="9072"/>
      </w:tabs>
      <w:spacing w:before="40" w:after="40"/>
      <w:ind w:left="284"/>
    </w:pPr>
    <w:rPr>
      <w:rFonts w:ascii="Times New Roman" w:hAnsi="Times New Roman"/>
    </w:rPr>
  </w:style>
  <w:style w:type="paragraph" w:styleId="TOC1">
    <w:name w:val="toc 1"/>
    <w:basedOn w:val="TOCBase"/>
    <w:next w:val="Normal"/>
    <w:rsid w:val="00424F1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24F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4F1B"/>
    <w:rPr>
      <w:rFonts w:ascii="Times New Roman" w:eastAsia="Times New Roman" w:hAnsi="Times New Roman" w:cs="Times New Roman"/>
      <w:sz w:val="16"/>
      <w:lang w:eastAsia="en-US"/>
    </w:rPr>
  </w:style>
  <w:style w:type="paragraph" w:styleId="Title">
    <w:name w:val="Title"/>
    <w:basedOn w:val="HeadingBase"/>
    <w:link w:val="TitleChar"/>
    <w:qFormat/>
    <w:rsid w:val="00424F1B"/>
    <w:pPr>
      <w:spacing w:before="5040"/>
      <w:jc w:val="center"/>
    </w:pPr>
    <w:rPr>
      <w:sz w:val="48"/>
      <w:szCs w:val="72"/>
      <w:lang w:val="en-US"/>
    </w:rPr>
  </w:style>
  <w:style w:type="character" w:customStyle="1" w:styleId="TitleChar">
    <w:name w:val="Title Char"/>
    <w:basedOn w:val="DefaultParagraphFont"/>
    <w:link w:val="Title"/>
    <w:rsid w:val="00424F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4F1B"/>
    <w:pPr>
      <w:tabs>
        <w:tab w:val="left" w:pos="3600"/>
        <w:tab w:val="left" w:pos="3958"/>
      </w:tabs>
    </w:pPr>
  </w:style>
  <w:style w:type="paragraph" w:styleId="List">
    <w:name w:val="List"/>
    <w:basedOn w:val="BodyText"/>
    <w:next w:val="BodyText"/>
    <w:rsid w:val="00424F1B"/>
    <w:pPr>
      <w:tabs>
        <w:tab w:val="left" w:pos="340"/>
      </w:tabs>
      <w:spacing w:before="60" w:after="60"/>
      <w:ind w:left="340" w:hanging="340"/>
    </w:pPr>
  </w:style>
  <w:style w:type="paragraph" w:customStyle="1" w:styleId="Note">
    <w:name w:val="Note"/>
    <w:basedOn w:val="BodyText"/>
    <w:rsid w:val="00424F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4F1B"/>
    <w:pPr>
      <w:framePr w:wrap="auto" w:hAnchor="text" w:y="6049"/>
    </w:pPr>
    <w:rPr>
      <w:color w:val="000000"/>
      <w:sz w:val="40"/>
    </w:rPr>
  </w:style>
  <w:style w:type="paragraph" w:customStyle="1" w:styleId="TOCTitle">
    <w:name w:val="TOCTitle"/>
    <w:basedOn w:val="Heading1"/>
    <w:rsid w:val="00424F1B"/>
    <w:pPr>
      <w:spacing w:after="240"/>
      <w:jc w:val="center"/>
      <w:outlineLvl w:val="9"/>
    </w:pPr>
    <w:rPr>
      <w:caps/>
    </w:rPr>
  </w:style>
  <w:style w:type="paragraph" w:customStyle="1" w:styleId="Version">
    <w:name w:val="Version"/>
    <w:rsid w:val="00424F1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24F1B"/>
    <w:pPr>
      <w:keepNext w:val="0"/>
      <w:tabs>
        <w:tab w:val="right" w:pos="4176"/>
      </w:tabs>
      <w:ind w:left="198" w:hanging="198"/>
    </w:pPr>
    <w:rPr>
      <w:rFonts w:ascii="Garamond" w:hAnsi="Garamond"/>
    </w:rPr>
  </w:style>
  <w:style w:type="paragraph" w:styleId="IndexHeading">
    <w:name w:val="index heading"/>
    <w:basedOn w:val="Normal"/>
    <w:next w:val="Index1"/>
    <w:semiHidden/>
    <w:rsid w:val="00424F1B"/>
    <w:pPr>
      <w:spacing w:before="120" w:after="120"/>
    </w:pPr>
    <w:rPr>
      <w:rFonts w:ascii="Arial" w:hAnsi="Arial"/>
      <w:b/>
      <w:color w:val="918585"/>
      <w:sz w:val="24"/>
    </w:rPr>
  </w:style>
  <w:style w:type="paragraph" w:styleId="Header">
    <w:name w:val="header"/>
    <w:basedOn w:val="Normal"/>
    <w:link w:val="HeaderChar"/>
    <w:rsid w:val="00424F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4F1B"/>
    <w:rPr>
      <w:rFonts w:ascii="Times New Roman" w:eastAsia="Times New Roman" w:hAnsi="Times New Roman" w:cs="Times New Roman"/>
      <w:sz w:val="16"/>
      <w:szCs w:val="20"/>
      <w:lang w:val="en-GB" w:eastAsia="en-US"/>
    </w:rPr>
  </w:style>
  <w:style w:type="paragraph" w:customStyle="1" w:styleId="Chapter">
    <w:name w:val="Chapter"/>
    <w:basedOn w:val="Normal"/>
    <w:rsid w:val="00424F1B"/>
    <w:pPr>
      <w:spacing w:before="240"/>
    </w:pPr>
    <w:rPr>
      <w:rFonts w:ascii="Times New Roman" w:hAnsi="Times New Roman"/>
      <w:smallCaps/>
      <w:spacing w:val="80"/>
      <w:sz w:val="28"/>
    </w:rPr>
  </w:style>
  <w:style w:type="paragraph" w:customStyle="1" w:styleId="InChapter">
    <w:name w:val="InChapter"/>
    <w:basedOn w:val="Heading3"/>
    <w:rsid w:val="00424F1B"/>
    <w:pPr>
      <w:spacing w:after="240"/>
      <w:outlineLvl w:val="9"/>
    </w:pPr>
    <w:rPr>
      <w:noProof/>
    </w:rPr>
  </w:style>
  <w:style w:type="paragraph" w:styleId="Index2">
    <w:name w:val="index 2"/>
    <w:basedOn w:val="Normal"/>
    <w:next w:val="Normal"/>
    <w:semiHidden/>
    <w:rsid w:val="00424F1B"/>
    <w:pPr>
      <w:tabs>
        <w:tab w:val="right" w:pos="4176"/>
      </w:tabs>
      <w:ind w:left="568" w:hanging="284"/>
    </w:pPr>
    <w:rPr>
      <w:rFonts w:ascii="Garamond" w:hAnsi="Garamond"/>
    </w:rPr>
  </w:style>
  <w:style w:type="paragraph" w:customStyle="1" w:styleId="Byline">
    <w:name w:val="Byline"/>
    <w:rsid w:val="00424F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4F1B"/>
    <w:pPr>
      <w:tabs>
        <w:tab w:val="clear" w:pos="3600"/>
        <w:tab w:val="clear" w:pos="3958"/>
      </w:tabs>
      <w:jc w:val="right"/>
    </w:pPr>
  </w:style>
  <w:style w:type="character" w:styleId="Emphasis">
    <w:name w:val="Emphasis"/>
    <w:basedOn w:val="DefaultParagraphFont"/>
    <w:qFormat/>
    <w:rsid w:val="00424F1B"/>
    <w:rPr>
      <w:i/>
    </w:rPr>
  </w:style>
  <w:style w:type="paragraph" w:styleId="Caption">
    <w:name w:val="caption"/>
    <w:basedOn w:val="BodyText"/>
    <w:next w:val="Normal"/>
    <w:qFormat/>
    <w:rsid w:val="00424F1B"/>
    <w:pPr>
      <w:framePr w:w="2268" w:hSpace="181" w:vSpace="181" w:wrap="around" w:vAnchor="text" w:hAnchor="page" w:x="1135" w:y="285" w:anchorLock="1"/>
    </w:pPr>
    <w:rPr>
      <w:i/>
    </w:rPr>
  </w:style>
  <w:style w:type="paragraph" w:customStyle="1" w:styleId="MiniTOCTitle">
    <w:name w:val="MiniTOCTitle"/>
    <w:basedOn w:val="Heading4"/>
    <w:rsid w:val="00424F1B"/>
    <w:pPr>
      <w:spacing w:before="240"/>
      <w:outlineLvl w:val="9"/>
    </w:pPr>
    <w:rPr>
      <w:noProof/>
      <w:sz w:val="24"/>
    </w:rPr>
  </w:style>
  <w:style w:type="paragraph" w:customStyle="1" w:styleId="MiniTOCItem">
    <w:name w:val="MiniTOCItem"/>
    <w:basedOn w:val="ListBullet"/>
    <w:rsid w:val="00424F1B"/>
    <w:pPr>
      <w:numPr>
        <w:numId w:val="0"/>
      </w:numPr>
      <w:tabs>
        <w:tab w:val="right" w:leader="dot" w:pos="6521"/>
      </w:tabs>
      <w:spacing w:before="0" w:after="0"/>
    </w:pPr>
  </w:style>
  <w:style w:type="paragraph" w:customStyle="1" w:styleId="TOFTitle">
    <w:name w:val="TOFTitle"/>
    <w:basedOn w:val="TOCTitle"/>
    <w:rsid w:val="00424F1B"/>
  </w:style>
  <w:style w:type="paragraph" w:styleId="TableofFigures">
    <w:name w:val="table of figures"/>
    <w:basedOn w:val="Normal"/>
    <w:next w:val="Normal"/>
    <w:semiHidden/>
    <w:rsid w:val="00424F1B"/>
    <w:pPr>
      <w:tabs>
        <w:tab w:val="right" w:leader="dot" w:pos="9072"/>
      </w:tabs>
      <w:ind w:left="970" w:hanging="403"/>
    </w:pPr>
    <w:rPr>
      <w:rFonts w:ascii="Times New Roman" w:hAnsi="Times New Roman"/>
      <w:b/>
    </w:rPr>
  </w:style>
  <w:style w:type="paragraph" w:styleId="ListNumber">
    <w:name w:val="List Number"/>
    <w:basedOn w:val="List"/>
    <w:rsid w:val="00424F1B"/>
    <w:pPr>
      <w:numPr>
        <w:numId w:val="15"/>
      </w:numPr>
      <w:tabs>
        <w:tab w:val="clear" w:pos="340"/>
      </w:tabs>
    </w:pPr>
  </w:style>
  <w:style w:type="character" w:customStyle="1" w:styleId="WingdingSymbols">
    <w:name w:val="Wingding Symbols"/>
    <w:rsid w:val="00424F1B"/>
    <w:rPr>
      <w:rFonts w:ascii="Wingdings" w:hAnsi="Wingdings"/>
    </w:rPr>
  </w:style>
  <w:style w:type="paragraph" w:customStyle="1" w:styleId="TableHeading">
    <w:name w:val="Table Heading"/>
    <w:basedOn w:val="HeadingBase"/>
    <w:rsid w:val="00424F1B"/>
    <w:pPr>
      <w:keepLines/>
      <w:pBdr>
        <w:bottom w:val="single" w:sz="6" w:space="1" w:color="918585"/>
      </w:pBdr>
      <w:spacing w:before="240"/>
    </w:pPr>
  </w:style>
  <w:style w:type="character" w:customStyle="1" w:styleId="HotSpot">
    <w:name w:val="HotSpot"/>
    <w:rsid w:val="00424F1B"/>
    <w:rPr>
      <w:color w:val="0033CC"/>
      <w:u w:val="none"/>
    </w:rPr>
  </w:style>
  <w:style w:type="paragraph" w:customStyle="1" w:styleId="BodyTextRight">
    <w:name w:val="Body Text Right"/>
    <w:basedOn w:val="BodyText"/>
    <w:rsid w:val="00424F1B"/>
    <w:pPr>
      <w:spacing w:before="0" w:after="0"/>
      <w:jc w:val="right"/>
    </w:pPr>
  </w:style>
  <w:style w:type="paragraph" w:styleId="Index3">
    <w:name w:val="index 3"/>
    <w:basedOn w:val="ListNumber2"/>
    <w:next w:val="Normal"/>
    <w:semiHidden/>
    <w:rsid w:val="00424F1B"/>
    <w:pPr>
      <w:numPr>
        <w:numId w:val="0"/>
      </w:numPr>
      <w:tabs>
        <w:tab w:val="right" w:leader="dot" w:pos="4176"/>
      </w:tabs>
    </w:pPr>
  </w:style>
  <w:style w:type="paragraph" w:styleId="ListNumber2">
    <w:name w:val="List Number 2"/>
    <w:basedOn w:val="List2"/>
    <w:rsid w:val="00424F1B"/>
    <w:pPr>
      <w:numPr>
        <w:numId w:val="10"/>
      </w:numPr>
      <w:tabs>
        <w:tab w:val="clear" w:pos="1060"/>
      </w:tabs>
    </w:pPr>
  </w:style>
  <w:style w:type="paragraph" w:customStyle="1" w:styleId="MarginNote">
    <w:name w:val="Margin Note"/>
    <w:basedOn w:val="BodyText"/>
    <w:rsid w:val="00424F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4F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4F1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4F1B"/>
    <w:rPr>
      <w:sz w:val="32"/>
    </w:rPr>
  </w:style>
  <w:style w:type="paragraph" w:customStyle="1" w:styleId="HeadingProcedure">
    <w:name w:val="Heading Procedure"/>
    <w:basedOn w:val="HeadingBase"/>
    <w:next w:val="Normal"/>
    <w:rsid w:val="00424F1B"/>
    <w:pPr>
      <w:tabs>
        <w:tab w:val="left" w:pos="0"/>
      </w:tabs>
      <w:spacing w:before="120" w:after="60"/>
    </w:pPr>
    <w:rPr>
      <w:i/>
      <w:color w:val="918585"/>
      <w:sz w:val="22"/>
    </w:rPr>
  </w:style>
  <w:style w:type="paragraph" w:customStyle="1" w:styleId="TableBodyText">
    <w:name w:val="Table Body Text"/>
    <w:basedOn w:val="BodyText"/>
    <w:rsid w:val="00424F1B"/>
    <w:pPr>
      <w:spacing w:before="60" w:after="60"/>
    </w:pPr>
  </w:style>
  <w:style w:type="paragraph" w:styleId="ListContinue">
    <w:name w:val="List Continue"/>
    <w:basedOn w:val="List"/>
    <w:rsid w:val="00424F1B"/>
    <w:pPr>
      <w:ind w:firstLine="0"/>
    </w:pPr>
  </w:style>
  <w:style w:type="paragraph" w:customStyle="1" w:styleId="ListNote">
    <w:name w:val="List Note"/>
    <w:basedOn w:val="List"/>
    <w:rsid w:val="00424F1B"/>
    <w:pPr>
      <w:pBdr>
        <w:top w:val="single" w:sz="6" w:space="2" w:color="918585"/>
        <w:bottom w:val="single" w:sz="6" w:space="2" w:color="918585"/>
      </w:pBdr>
      <w:tabs>
        <w:tab w:val="left" w:pos="1021"/>
      </w:tabs>
      <w:ind w:firstLine="0"/>
    </w:pPr>
  </w:style>
  <w:style w:type="paragraph" w:customStyle="1" w:styleId="Warning">
    <w:name w:val="Warning"/>
    <w:basedOn w:val="BodyText"/>
    <w:rsid w:val="00424F1B"/>
    <w:pPr>
      <w:shd w:val="clear" w:color="auto" w:fill="D9D9D9"/>
      <w:tabs>
        <w:tab w:val="left" w:pos="992"/>
      </w:tabs>
      <w:ind w:left="119" w:right="119"/>
    </w:pPr>
    <w:rPr>
      <w:sz w:val="20"/>
    </w:rPr>
  </w:style>
  <w:style w:type="paragraph" w:customStyle="1" w:styleId="MarginIcons">
    <w:name w:val="Margin Icons"/>
    <w:basedOn w:val="BodyText"/>
    <w:rsid w:val="00424F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4F1B"/>
    <w:rPr>
      <w:rFonts w:ascii="Courier New" w:hAnsi="Courier New"/>
    </w:rPr>
  </w:style>
  <w:style w:type="paragraph" w:customStyle="1" w:styleId="NoteBullet">
    <w:name w:val="Note Bullet"/>
    <w:basedOn w:val="Note"/>
    <w:rsid w:val="00424F1B"/>
    <w:pPr>
      <w:tabs>
        <w:tab w:val="clear" w:pos="680"/>
      </w:tabs>
      <w:spacing w:before="60" w:after="60"/>
    </w:pPr>
  </w:style>
  <w:style w:type="paragraph" w:customStyle="1" w:styleId="SubHeading2">
    <w:name w:val="SubHeading2"/>
    <w:basedOn w:val="HeadingBase"/>
    <w:rsid w:val="00424F1B"/>
    <w:pPr>
      <w:spacing w:before="240" w:after="60"/>
    </w:pPr>
    <w:rPr>
      <w:sz w:val="20"/>
    </w:rPr>
  </w:style>
  <w:style w:type="paragraph" w:customStyle="1" w:styleId="SubHeading1">
    <w:name w:val="SubHeading1"/>
    <w:basedOn w:val="HeadingBase"/>
    <w:rsid w:val="00424F1B"/>
    <w:pPr>
      <w:spacing w:before="240" w:after="60"/>
    </w:pPr>
    <w:rPr>
      <w:color w:val="918585"/>
      <w:sz w:val="22"/>
    </w:rPr>
  </w:style>
  <w:style w:type="paragraph" w:customStyle="1" w:styleId="SideHeading">
    <w:name w:val="Side Heading"/>
    <w:basedOn w:val="HeadingBase"/>
    <w:rsid w:val="00424F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4F1B"/>
    <w:pPr>
      <w:tabs>
        <w:tab w:val="num" w:pos="360"/>
      </w:tabs>
    </w:pPr>
  </w:style>
  <w:style w:type="paragraph" w:styleId="PlainText">
    <w:name w:val="Plain Text"/>
    <w:basedOn w:val="Normal"/>
    <w:link w:val="PlainTextChar"/>
    <w:rsid w:val="00424F1B"/>
    <w:rPr>
      <w:sz w:val="20"/>
    </w:rPr>
  </w:style>
  <w:style w:type="character" w:customStyle="1" w:styleId="PlainTextChar">
    <w:name w:val="Plain Text Char"/>
    <w:basedOn w:val="DefaultParagraphFont"/>
    <w:link w:val="PlainText"/>
    <w:rsid w:val="00424F1B"/>
    <w:rPr>
      <w:rFonts w:ascii="Courier New" w:eastAsia="Times New Roman" w:hAnsi="Courier New" w:cs="Times New Roman"/>
      <w:sz w:val="20"/>
      <w:szCs w:val="20"/>
      <w:lang w:eastAsia="en-US"/>
    </w:rPr>
  </w:style>
  <w:style w:type="character" w:customStyle="1" w:styleId="MenuOption">
    <w:name w:val="Menu Option"/>
    <w:basedOn w:val="DefaultParagraphFont"/>
    <w:rsid w:val="00424F1B"/>
    <w:rPr>
      <w:b/>
      <w:smallCaps/>
    </w:rPr>
  </w:style>
  <w:style w:type="paragraph" w:customStyle="1" w:styleId="TableListNumber">
    <w:name w:val="Table List Number"/>
    <w:basedOn w:val="ListNumber"/>
    <w:rsid w:val="00424F1B"/>
    <w:pPr>
      <w:numPr>
        <w:numId w:val="0"/>
      </w:numPr>
    </w:pPr>
  </w:style>
  <w:style w:type="paragraph" w:styleId="TOC4">
    <w:name w:val="toc 4"/>
    <w:basedOn w:val="TOCBase"/>
    <w:next w:val="Normal"/>
    <w:semiHidden/>
    <w:rsid w:val="00424F1B"/>
    <w:pPr>
      <w:tabs>
        <w:tab w:val="right" w:leader="dot" w:pos="9071"/>
      </w:tabs>
      <w:ind w:left="1701"/>
    </w:pPr>
  </w:style>
  <w:style w:type="paragraph" w:customStyle="1" w:styleId="ListAlpha">
    <w:name w:val="List Alpha"/>
    <w:basedOn w:val="List"/>
    <w:rsid w:val="00424F1B"/>
    <w:pPr>
      <w:numPr>
        <w:numId w:val="9"/>
      </w:numPr>
    </w:pPr>
  </w:style>
  <w:style w:type="paragraph" w:customStyle="1" w:styleId="ListAlpha2">
    <w:name w:val="List Alpha 2"/>
    <w:basedOn w:val="List2"/>
    <w:rsid w:val="00424F1B"/>
    <w:pPr>
      <w:numPr>
        <w:numId w:val="8"/>
      </w:numPr>
    </w:pPr>
  </w:style>
  <w:style w:type="paragraph" w:styleId="List2">
    <w:name w:val="List 2"/>
    <w:basedOn w:val="BodyText"/>
    <w:rsid w:val="00424F1B"/>
    <w:pPr>
      <w:tabs>
        <w:tab w:val="left" w:pos="680"/>
      </w:tabs>
      <w:spacing w:before="60" w:after="60"/>
      <w:ind w:left="680" w:hanging="340"/>
    </w:pPr>
  </w:style>
  <w:style w:type="paragraph" w:styleId="List3">
    <w:name w:val="List 3"/>
    <w:basedOn w:val="BodyText"/>
    <w:rsid w:val="00424F1B"/>
    <w:pPr>
      <w:tabs>
        <w:tab w:val="left" w:pos="1021"/>
      </w:tabs>
      <w:spacing w:before="60" w:after="60"/>
      <w:ind w:left="1020" w:hanging="340"/>
    </w:pPr>
  </w:style>
  <w:style w:type="paragraph" w:styleId="List4">
    <w:name w:val="List 4"/>
    <w:basedOn w:val="BodyText"/>
    <w:rsid w:val="00424F1B"/>
    <w:pPr>
      <w:tabs>
        <w:tab w:val="left" w:pos="1361"/>
      </w:tabs>
      <w:spacing w:before="60" w:after="60"/>
      <w:ind w:left="1361" w:hanging="340"/>
    </w:pPr>
  </w:style>
  <w:style w:type="paragraph" w:styleId="List5">
    <w:name w:val="List 5"/>
    <w:basedOn w:val="BodyText"/>
    <w:rsid w:val="00424F1B"/>
    <w:pPr>
      <w:tabs>
        <w:tab w:val="left" w:pos="1701"/>
      </w:tabs>
      <w:spacing w:before="60" w:after="60"/>
      <w:ind w:left="1701" w:hanging="340"/>
    </w:pPr>
  </w:style>
  <w:style w:type="paragraph" w:styleId="ListBullet3">
    <w:name w:val="List Bullet 3"/>
    <w:basedOn w:val="List3"/>
    <w:rsid w:val="00424F1B"/>
    <w:pPr>
      <w:numPr>
        <w:numId w:val="14"/>
      </w:numPr>
      <w:tabs>
        <w:tab w:val="clear" w:pos="1021"/>
      </w:tabs>
      <w:ind w:left="1037" w:hanging="357"/>
    </w:pPr>
  </w:style>
  <w:style w:type="paragraph" w:styleId="ListBullet4">
    <w:name w:val="List Bullet 4"/>
    <w:basedOn w:val="List4"/>
    <w:rsid w:val="00424F1B"/>
    <w:pPr>
      <w:numPr>
        <w:numId w:val="3"/>
      </w:numPr>
      <w:tabs>
        <w:tab w:val="clear" w:pos="1361"/>
      </w:tabs>
    </w:pPr>
  </w:style>
  <w:style w:type="paragraph" w:styleId="ListBullet5">
    <w:name w:val="List Bullet 5"/>
    <w:basedOn w:val="List5"/>
    <w:rsid w:val="00424F1B"/>
    <w:pPr>
      <w:numPr>
        <w:numId w:val="4"/>
      </w:numPr>
    </w:pPr>
  </w:style>
  <w:style w:type="paragraph" w:styleId="ListContinue2">
    <w:name w:val="List Continue 2"/>
    <w:basedOn w:val="List2"/>
    <w:rsid w:val="00424F1B"/>
    <w:pPr>
      <w:ind w:firstLine="0"/>
    </w:pPr>
  </w:style>
  <w:style w:type="paragraph" w:styleId="ListContinue3">
    <w:name w:val="List Continue 3"/>
    <w:basedOn w:val="List3"/>
    <w:rsid w:val="00424F1B"/>
    <w:pPr>
      <w:ind w:left="1021" w:firstLine="0"/>
    </w:pPr>
  </w:style>
  <w:style w:type="paragraph" w:styleId="ListContinue4">
    <w:name w:val="List Continue 4"/>
    <w:basedOn w:val="List4"/>
    <w:rsid w:val="00424F1B"/>
    <w:pPr>
      <w:ind w:firstLine="0"/>
    </w:pPr>
  </w:style>
  <w:style w:type="paragraph" w:styleId="ListContinue5">
    <w:name w:val="List Continue 5"/>
    <w:basedOn w:val="List5"/>
    <w:rsid w:val="00424F1B"/>
    <w:pPr>
      <w:ind w:firstLine="0"/>
    </w:pPr>
  </w:style>
  <w:style w:type="paragraph" w:styleId="ListNumber3">
    <w:name w:val="List Number 3"/>
    <w:basedOn w:val="List3"/>
    <w:rsid w:val="00424F1B"/>
    <w:pPr>
      <w:numPr>
        <w:numId w:val="5"/>
      </w:numPr>
    </w:pPr>
  </w:style>
  <w:style w:type="paragraph" w:styleId="ListNumber4">
    <w:name w:val="List Number 4"/>
    <w:basedOn w:val="List4"/>
    <w:rsid w:val="00424F1B"/>
    <w:pPr>
      <w:numPr>
        <w:numId w:val="6"/>
      </w:numPr>
    </w:pPr>
  </w:style>
  <w:style w:type="paragraph" w:styleId="ListNumber5">
    <w:name w:val="List Number 5"/>
    <w:basedOn w:val="List5"/>
    <w:rsid w:val="00424F1B"/>
    <w:pPr>
      <w:numPr>
        <w:numId w:val="7"/>
      </w:numPr>
    </w:pPr>
  </w:style>
  <w:style w:type="paragraph" w:styleId="BlockText">
    <w:name w:val="Block Text"/>
    <w:basedOn w:val="Normal"/>
    <w:rsid w:val="00424F1B"/>
    <w:pPr>
      <w:spacing w:after="120"/>
      <w:ind w:left="1440" w:right="1440"/>
    </w:pPr>
  </w:style>
  <w:style w:type="character" w:customStyle="1" w:styleId="Subscript">
    <w:name w:val="Subscript"/>
    <w:basedOn w:val="DefaultParagraphFont"/>
    <w:rsid w:val="00424F1B"/>
    <w:rPr>
      <w:sz w:val="16"/>
      <w:vertAlign w:val="subscript"/>
    </w:rPr>
  </w:style>
  <w:style w:type="character" w:customStyle="1" w:styleId="Superscript">
    <w:name w:val="Superscript"/>
    <w:basedOn w:val="DefaultParagraphFont"/>
    <w:rsid w:val="00424F1B"/>
    <w:rPr>
      <w:sz w:val="16"/>
      <w:vertAlign w:val="superscript"/>
    </w:rPr>
  </w:style>
  <w:style w:type="character" w:customStyle="1" w:styleId="Symbols">
    <w:name w:val="Symbols"/>
    <w:basedOn w:val="DefaultParagraphFont"/>
    <w:rsid w:val="00424F1B"/>
    <w:rPr>
      <w:rFonts w:ascii="Symbol" w:hAnsi="Symbol"/>
    </w:rPr>
  </w:style>
  <w:style w:type="character" w:customStyle="1" w:styleId="MenuOptions">
    <w:name w:val="Menu Options"/>
    <w:basedOn w:val="DefaultParagraphFont"/>
    <w:rsid w:val="00424F1B"/>
    <w:rPr>
      <w:rFonts w:ascii="Arial Narrow" w:hAnsi="Arial Narrow"/>
      <w:smallCaps/>
    </w:rPr>
  </w:style>
  <w:style w:type="character" w:customStyle="1" w:styleId="Buttons">
    <w:name w:val="Buttons"/>
    <w:basedOn w:val="DefaultParagraphFont"/>
    <w:rsid w:val="00424F1B"/>
    <w:rPr>
      <w:b/>
    </w:rPr>
  </w:style>
  <w:style w:type="character" w:customStyle="1" w:styleId="Underlined">
    <w:name w:val="Underlined"/>
    <w:basedOn w:val="DefaultParagraphFont"/>
    <w:rsid w:val="00424F1B"/>
    <w:rPr>
      <w:u w:val="single"/>
    </w:rPr>
  </w:style>
  <w:style w:type="paragraph" w:customStyle="1" w:styleId="TableBodyTextRight">
    <w:name w:val="Table Body Text Right"/>
    <w:basedOn w:val="TableBodyText"/>
    <w:rsid w:val="00424F1B"/>
    <w:pPr>
      <w:widowControl w:val="0"/>
      <w:autoSpaceDE w:val="0"/>
      <w:autoSpaceDN w:val="0"/>
      <w:adjustRightInd w:val="0"/>
      <w:jc w:val="right"/>
    </w:pPr>
    <w:rPr>
      <w:rFonts w:cs="Arial"/>
      <w:szCs w:val="18"/>
    </w:rPr>
  </w:style>
  <w:style w:type="paragraph" w:customStyle="1" w:styleId="CopyrightText">
    <w:name w:val="Copyright Text"/>
    <w:basedOn w:val="BodyText"/>
    <w:rsid w:val="00424F1B"/>
    <w:rPr>
      <w:sz w:val="18"/>
    </w:rPr>
  </w:style>
  <w:style w:type="paragraph" w:customStyle="1" w:styleId="BodySmallRight">
    <w:name w:val="Body Small Right"/>
    <w:basedOn w:val="BodyTextRight"/>
    <w:rsid w:val="00424F1B"/>
    <w:rPr>
      <w:sz w:val="18"/>
      <w:szCs w:val="18"/>
    </w:rPr>
  </w:style>
  <w:style w:type="paragraph" w:customStyle="1" w:styleId="MarginEdition">
    <w:name w:val="Margin Edition"/>
    <w:basedOn w:val="MarginNote"/>
    <w:rsid w:val="00424F1B"/>
    <w:pPr>
      <w:spacing w:before="0" w:after="0"/>
    </w:pPr>
    <w:rPr>
      <w:rFonts w:ascii="Times New Roman" w:hAnsi="Times New Roman"/>
      <w:color w:val="999999"/>
    </w:rPr>
  </w:style>
  <w:style w:type="paragraph" w:customStyle="1" w:styleId="Spacer">
    <w:name w:val="Spacer"/>
    <w:basedOn w:val="Normal"/>
    <w:rsid w:val="00424F1B"/>
    <w:rPr>
      <w:sz w:val="2"/>
      <w:szCs w:val="2"/>
    </w:rPr>
  </w:style>
  <w:style w:type="character" w:customStyle="1" w:styleId="Small">
    <w:name w:val="Small"/>
    <w:basedOn w:val="DefaultParagraphFont"/>
    <w:rsid w:val="00424F1B"/>
    <w:rPr>
      <w:sz w:val="16"/>
    </w:rPr>
  </w:style>
  <w:style w:type="paragraph" w:customStyle="1" w:styleId="WideTable">
    <w:name w:val="Wide Table"/>
    <w:basedOn w:val="Normal"/>
    <w:rsid w:val="00424F1B"/>
    <w:pPr>
      <w:ind w:left="-1418"/>
    </w:pPr>
    <w:rPr>
      <w:sz w:val="2"/>
      <w:szCs w:val="2"/>
    </w:rPr>
  </w:style>
  <w:style w:type="character" w:styleId="PageNumber">
    <w:name w:val="page number"/>
    <w:basedOn w:val="DefaultParagraphFont"/>
    <w:rsid w:val="00424F1B"/>
  </w:style>
  <w:style w:type="paragraph" w:styleId="Quote">
    <w:name w:val="Quote"/>
    <w:basedOn w:val="Heading1"/>
    <w:link w:val="QuoteChar"/>
    <w:qFormat/>
    <w:rsid w:val="00424F1B"/>
    <w:rPr>
      <w:b w:val="0"/>
      <w:sz w:val="72"/>
      <w:szCs w:val="72"/>
      <w:lang w:val="en-NZ"/>
    </w:rPr>
  </w:style>
  <w:style w:type="character" w:customStyle="1" w:styleId="QuoteChar">
    <w:name w:val="Quote Char"/>
    <w:basedOn w:val="DefaultParagraphFont"/>
    <w:link w:val="Quote"/>
    <w:rsid w:val="00424F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4F1B"/>
    <w:pPr>
      <w:pageBreakBefore/>
    </w:pPr>
  </w:style>
  <w:style w:type="paragraph" w:customStyle="1" w:styleId="Border">
    <w:name w:val="Border"/>
    <w:basedOn w:val="Normal"/>
    <w:qFormat/>
    <w:rsid w:val="00424F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4F1B"/>
    <w:rPr>
      <w:b/>
      <w:bCs/>
      <w:i/>
      <w:iCs/>
      <w:color w:val="auto"/>
    </w:rPr>
  </w:style>
  <w:style w:type="paragraph" w:styleId="IntenseQuote">
    <w:name w:val="Intense Quote"/>
    <w:basedOn w:val="Normal"/>
    <w:next w:val="Normal"/>
    <w:link w:val="IntenseQuoteChar"/>
    <w:uiPriority w:val="30"/>
    <w:qFormat/>
    <w:rsid w:val="00424F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4F1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4F1B"/>
    <w:rPr>
      <w:smallCaps/>
      <w:color w:val="auto"/>
      <w:u w:val="single"/>
    </w:rPr>
  </w:style>
  <w:style w:type="character" w:styleId="IntenseReference">
    <w:name w:val="Intense Reference"/>
    <w:basedOn w:val="DefaultParagraphFont"/>
    <w:uiPriority w:val="32"/>
    <w:qFormat/>
    <w:rsid w:val="00424F1B"/>
    <w:rPr>
      <w:b/>
      <w:bCs/>
      <w:smallCaps/>
      <w:color w:val="auto"/>
      <w:spacing w:val="5"/>
      <w:u w:val="single"/>
    </w:rPr>
  </w:style>
  <w:style w:type="paragraph" w:customStyle="1" w:styleId="2ColumnHeading">
    <w:name w:val="2Column Heading"/>
    <w:basedOn w:val="BodyText"/>
    <w:qFormat/>
    <w:rsid w:val="00424F1B"/>
    <w:pPr>
      <w:spacing w:after="60"/>
      <w:ind w:left="-2268"/>
    </w:pPr>
    <w:rPr>
      <w:b/>
    </w:rPr>
  </w:style>
  <w:style w:type="paragraph" w:customStyle="1" w:styleId="Heading1TOC">
    <w:name w:val="Heading1 TOC"/>
    <w:basedOn w:val="Normal"/>
    <w:qFormat/>
    <w:rsid w:val="00424F1B"/>
    <w:pPr>
      <w:spacing w:before="240" w:after="120"/>
    </w:pPr>
    <w:rPr>
      <w:rFonts w:ascii="Times New Roman" w:hAnsi="Times New Roman"/>
      <w:b/>
      <w:sz w:val="32"/>
    </w:rPr>
  </w:style>
  <w:style w:type="paragraph" w:customStyle="1" w:styleId="Heading2TOC">
    <w:name w:val="Heading2 TOC"/>
    <w:basedOn w:val="Normal"/>
    <w:qFormat/>
    <w:rsid w:val="00424F1B"/>
    <w:pPr>
      <w:spacing w:before="240" w:after="60"/>
    </w:pPr>
    <w:rPr>
      <w:rFonts w:ascii="Times New Roman" w:hAnsi="Times New Roman"/>
      <w:b/>
      <w:sz w:val="28"/>
    </w:rPr>
  </w:style>
  <w:style w:type="character" w:customStyle="1" w:styleId="Underline">
    <w:name w:val="Underline"/>
    <w:basedOn w:val="DefaultParagraphFont"/>
    <w:qFormat/>
    <w:rsid w:val="00424F1B"/>
    <w:rPr>
      <w:u w:val="single"/>
    </w:rPr>
  </w:style>
  <w:style w:type="character" w:customStyle="1" w:styleId="BoldandItalics">
    <w:name w:val="Bold and Italics"/>
    <w:qFormat/>
    <w:rsid w:val="00424F1B"/>
    <w:rPr>
      <w:b/>
      <w:i/>
      <w:u w:val="none"/>
    </w:rPr>
  </w:style>
  <w:style w:type="paragraph" w:styleId="BalloonText">
    <w:name w:val="Balloon Text"/>
    <w:basedOn w:val="Normal"/>
    <w:link w:val="BalloonTextChar"/>
    <w:rsid w:val="00424F1B"/>
    <w:rPr>
      <w:rFonts w:ascii="Tahoma" w:hAnsi="Tahoma" w:cs="Tahoma"/>
      <w:sz w:val="16"/>
      <w:szCs w:val="16"/>
    </w:rPr>
  </w:style>
  <w:style w:type="character" w:customStyle="1" w:styleId="BalloonTextChar">
    <w:name w:val="Balloon Text Char"/>
    <w:basedOn w:val="DefaultParagraphFont"/>
    <w:link w:val="BalloonText"/>
    <w:rsid w:val="00424F1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4F1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24F1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4F1B"/>
    <w:rPr>
      <w:b/>
      <w:color w:val="660033"/>
      <w:spacing w:val="0"/>
    </w:rPr>
  </w:style>
  <w:style w:type="paragraph" w:customStyle="1" w:styleId="Nameditemlist">
    <w:name w:val="Named item list"/>
    <w:basedOn w:val="BodyText"/>
    <w:qFormat/>
    <w:rsid w:val="00424F1B"/>
    <w:pPr>
      <w:tabs>
        <w:tab w:val="left" w:pos="2835"/>
      </w:tabs>
      <w:ind w:left="2835" w:hanging="2835"/>
    </w:pPr>
  </w:style>
  <w:style w:type="paragraph" w:customStyle="1" w:styleId="BodyTextnopadding">
    <w:name w:val="Body Text no padding"/>
    <w:basedOn w:val="BodyText"/>
    <w:qFormat/>
    <w:rsid w:val="00424F1B"/>
    <w:pPr>
      <w:spacing w:before="0" w:after="0"/>
    </w:pPr>
  </w:style>
  <w:style w:type="paragraph" w:customStyle="1" w:styleId="BodyTextBold">
    <w:name w:val="Body Text Bold"/>
    <w:basedOn w:val="BodyText"/>
    <w:qFormat/>
    <w:rsid w:val="00424F1B"/>
    <w:rPr>
      <w:b/>
    </w:rPr>
  </w:style>
  <w:style w:type="character" w:styleId="Hyperlink">
    <w:name w:val="Hyperlink"/>
    <w:basedOn w:val="DefaultParagraphFont"/>
    <w:uiPriority w:val="99"/>
    <w:unhideWhenUsed/>
    <w:rsid w:val="003770D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1266</Words>
  <Characters>7913</Characters>
  <Application>Microsoft Office Word</Application>
  <DocSecurity>0</DocSecurity>
  <Lines>304</Lines>
  <Paragraphs>176</Paragraphs>
  <ScaleCrop>false</ScaleCrop>
  <Company>Author-it Software Corporation Ltd.</Company>
  <LinksUpToDate>false</LinksUpToDate>
  <CharactersWithSpaces>9003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MSS403032 Analyse manual handling processes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2025-03-01T13:22:00Z</dcterms:created>
  <dcterms:modified xsi:type="dcterms:W3CDTF">2025-03-01T13:22:00Z</dcterms:modified>
</cp:coreProperties>
</file>