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669" w:rsidP="00076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MSS403006 Facilitate implementation or review of competitive systems and practices in an office</w:t>
      </w:r>
      <w:r>
        <w:fldChar w:fldCharType="end"/>
      </w:r>
    </w:p>
    <w:p w:rsidR="00076669" w:rsidP="00076669">
      <w:pPr>
        <w:pStyle w:val="Version"/>
        <w:sectPr w:rsidSect="001E26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637" w:rsidP="001E2637">
      <w:pPr>
        <w:pStyle w:val="SuperHeading"/>
      </w:pPr>
      <w:r w:rsidRPr="001E2637">
        <w:t>Assessment Requirements for MSS403006 Facilitate implementation or review of competitive systems and practices in an office</w:t>
      </w:r>
    </w:p>
    <w:p w:rsidR="00000000" w:rsidRPr="001E2637" w:rsidP="001E2637">
      <w:pPr>
        <w:pStyle w:val="Heading1"/>
      </w:pPr>
      <w:bookmarkStart w:id="1" w:name="O_920412"/>
      <w:bookmarkEnd w:id="1"/>
      <w:r w:rsidRPr="001E2637">
        <w:t>Modification History</w:t>
      </w:r>
    </w:p>
    <w:p w:rsidR="00000000" w:rsidRPr="001E2637" w:rsidP="00076669">
      <w:pPr>
        <w:pStyle w:val="BodyText"/>
      </w:pPr>
      <w:r w:rsidRPr="001E2637">
        <w:t>Release 1. Supersedes a</w:t>
      </w:r>
      <w:r w:rsidRPr="001E2637">
        <w:t>nd is equivalent to MSS403006A Facilitate implementation of competitive systems and practices in an office</w:t>
      </w:r>
    </w:p>
    <w:p w:rsidR="00000000" w:rsidRPr="001E2637" w:rsidP="001E2637">
      <w:pPr>
        <w:pStyle w:val="Heading1"/>
      </w:pPr>
      <w:bookmarkStart w:id="2" w:name="O_920415"/>
      <w:bookmarkEnd w:id="2"/>
      <w:r w:rsidRPr="001E2637">
        <w:t>Performance Evidence</w:t>
      </w:r>
    </w:p>
    <w:p w:rsidR="00000000" w:rsidRPr="001E2637" w:rsidP="00076669">
      <w:pPr>
        <w:pStyle w:val="BodyText"/>
      </w:pPr>
      <w:r w:rsidRPr="001E2637">
        <w:t>Evidence required to demonstrate competence in this unit must be relevant to and satisfy the requirements of th</w:t>
      </w:r>
      <w:r w:rsidRPr="001E2637">
        <w:t>e elements and performance criteria and include the ability to facilitate implementation of competitive systems and practices on one (1) or more occasion and to:</w:t>
      </w:r>
    </w:p>
    <w:p w:rsidR="00000000" w:rsidRPr="001E2637" w:rsidP="001E2637">
      <w:pPr>
        <w:pStyle w:val="ListBullet"/>
      </w:pPr>
      <w:r w:rsidRPr="001E2637">
        <w:t>identify the scope</w:t>
      </w:r>
    </w:p>
    <w:p w:rsidR="00000000" w:rsidRPr="001E2637" w:rsidP="001E2637">
      <w:pPr>
        <w:pStyle w:val="ListBullet"/>
      </w:pPr>
      <w:r w:rsidRPr="001E2637">
        <w:t>facilitate engagement</w:t>
      </w:r>
    </w:p>
    <w:p w:rsidR="00000000" w:rsidRPr="001E2637" w:rsidP="001E2637">
      <w:pPr>
        <w:pStyle w:val="ListBullet"/>
      </w:pPr>
      <w:r w:rsidRPr="001E2637">
        <w:t xml:space="preserve">facilitate implementation </w:t>
      </w:r>
    </w:p>
    <w:p w:rsidR="00000000" w:rsidRPr="001E2637" w:rsidP="001E2637">
      <w:pPr>
        <w:pStyle w:val="ListBullet"/>
      </w:pPr>
      <w:r w:rsidRPr="001E2637">
        <w:t>facilitate continuous imp</w:t>
      </w:r>
      <w:r w:rsidRPr="001E2637">
        <w:t>rovement.</w:t>
      </w:r>
    </w:p>
    <w:p w:rsidR="00000000" w:rsidRPr="001E2637" w:rsidP="001E2637">
      <w:pPr>
        <w:pStyle w:val="AllowPageBreak"/>
      </w:pPr>
    </w:p>
    <w:p w:rsidR="00000000" w:rsidRPr="001E2637" w:rsidP="001E2637">
      <w:pPr>
        <w:pStyle w:val="Heading1"/>
      </w:pPr>
      <w:bookmarkStart w:id="3" w:name="O_920414"/>
      <w:bookmarkEnd w:id="3"/>
      <w:r w:rsidRPr="001E2637">
        <w:t>Knowledge Evidence</w:t>
      </w:r>
    </w:p>
    <w:p w:rsidR="00000000" w:rsidRPr="001E2637" w:rsidP="00076669">
      <w:pPr>
        <w:pStyle w:val="BodyText"/>
      </w:pPr>
      <w:r w:rsidRPr="001E2637">
        <w:t>Must provide evidence that demonstrates knowledge relevant to their job role sufficient to fulfil their job role independently, including:</w:t>
      </w:r>
    </w:p>
    <w:p w:rsidR="00000000" w:rsidRPr="001E2637" w:rsidP="001E2637">
      <w:pPr>
        <w:pStyle w:val="ListBullet"/>
      </w:pPr>
      <w:r w:rsidRPr="001E2637">
        <w:t>principles of competitive systems and practices, common tools, and the</w:t>
      </w:r>
      <w:r w:rsidRPr="001E2637">
        <w:t>ir application to the office environment</w:t>
      </w:r>
    </w:p>
    <w:p w:rsidR="00000000" w:rsidRPr="001E2637" w:rsidP="001E2637">
      <w:pPr>
        <w:pStyle w:val="ListBullet"/>
      </w:pPr>
      <w:r w:rsidRPr="001E2637">
        <w:t>methods of gathering data against key performance indicators (KPIs)</w:t>
      </w:r>
    </w:p>
    <w:p w:rsidR="00000000" w:rsidRPr="001E2637" w:rsidP="001E2637">
      <w:pPr>
        <w:pStyle w:val="ListBullet"/>
      </w:pPr>
      <w:r w:rsidRPr="001E2637">
        <w:t>muda in an office environment (and required muda)</w:t>
      </w:r>
    </w:p>
    <w:p w:rsidR="00000000" w:rsidRPr="001E2637" w:rsidP="001E2637">
      <w:pPr>
        <w:pStyle w:val="ListBullet"/>
      </w:pPr>
      <w:r w:rsidRPr="001E2637">
        <w:t>current office processes</w:t>
      </w:r>
    </w:p>
    <w:p w:rsidR="00000000" w:rsidRPr="001E2637" w:rsidP="001E2637">
      <w:pPr>
        <w:pStyle w:val="ListBullet"/>
      </w:pPr>
      <w:r w:rsidRPr="001E2637">
        <w:t>visual indicators.</w:t>
      </w:r>
    </w:p>
    <w:p w:rsidR="00000000" w:rsidRPr="001E2637" w:rsidP="001E2637">
      <w:pPr>
        <w:pStyle w:val="AllowPageBreak"/>
      </w:pPr>
    </w:p>
    <w:p w:rsidR="00000000" w:rsidRPr="001E2637" w:rsidP="001E2637">
      <w:pPr>
        <w:pStyle w:val="Heading1"/>
      </w:pPr>
      <w:bookmarkStart w:id="4" w:name="O_920413"/>
      <w:bookmarkEnd w:id="4"/>
      <w:r w:rsidRPr="001E2637">
        <w:t>Assessment Conditions</w:t>
      </w:r>
    </w:p>
    <w:p w:rsidR="00000000" w:rsidRPr="001E2637" w:rsidP="001E2637">
      <w:pPr>
        <w:pStyle w:val="ListBullet"/>
      </w:pPr>
      <w:r w:rsidRPr="001E2637">
        <w:t>The unit shou</w:t>
      </w:r>
      <w:r w:rsidRPr="001E2637">
        <w:t xml:space="preserve">ld be assessed holistically and the judgement of competence shall be based on a holistic assessment of the evidence. </w:t>
      </w:r>
    </w:p>
    <w:p w:rsidR="00000000" w:rsidRPr="001E2637" w:rsidP="001E2637">
      <w:pPr>
        <w:pStyle w:val="ListBullet"/>
      </w:pPr>
      <w:r w:rsidRPr="001E2637">
        <w:t>The collection of performance evidence is best done from a report and/or folio of evidence drawn from:</w:t>
      </w:r>
    </w:p>
    <w:p w:rsidR="00000000" w:rsidRPr="001E2637" w:rsidP="001E2637">
      <w:pPr>
        <w:pStyle w:val="ListBullet2"/>
      </w:pPr>
      <w:r w:rsidRPr="001E2637">
        <w:t>a single project whic</w:t>
      </w:r>
      <w:r w:rsidRPr="001E2637">
        <w:t>h provides sufficient evidence of the requirements of all the elements and performance criteria</w:t>
      </w:r>
    </w:p>
    <w:p w:rsidR="00000000" w:rsidRPr="001E2637" w:rsidP="001E2637">
      <w:pPr>
        <w:pStyle w:val="ListBullet2"/>
      </w:pPr>
      <w:r w:rsidRPr="001E2637">
        <w:t>multiple smaller projects which together provide sufficient evidence of the requirements of all the elements and performance criteria.</w:t>
      </w:r>
    </w:p>
    <w:p w:rsidR="00000000" w:rsidRPr="001E2637" w:rsidP="001E2637">
      <w:pPr>
        <w:pStyle w:val="ListBullet"/>
      </w:pPr>
      <w:r w:rsidRPr="001E2637">
        <w:t>A third-party report, or</w:t>
      </w:r>
      <w:r w:rsidRPr="001E2637">
        <w:t xml:space="preserve"> similar, may be needed to testify to the work done by the individual, particularly when the project has been done as part of a project team.</w:t>
      </w:r>
    </w:p>
    <w:p w:rsidR="00000000" w:rsidRPr="001E2637" w:rsidP="001E2637">
      <w:pPr>
        <w:pStyle w:val="ListBullet"/>
      </w:pPr>
      <w:r w:rsidRPr="001E2637">
        <w:t xml:space="preserve">Assessment should use a real project in an operational workplace. </w:t>
      </w:r>
    </w:p>
    <w:p w:rsidR="00000000" w:rsidRPr="001E2637" w:rsidP="001E2637">
      <w:pPr>
        <w:pStyle w:val="ListBullet"/>
      </w:pPr>
      <w:r w:rsidRPr="001E2637">
        <w:t>Knowledge evidence may be collected concurrentl</w:t>
      </w:r>
      <w:r w:rsidRPr="001E2637">
        <w:t>y with performance evidence or through an independent process such as workbooks, written assessments or interviews (provided a record is kept).</w:t>
      </w:r>
    </w:p>
    <w:p w:rsidR="00000000" w:rsidRPr="001E2637" w:rsidP="001E2637">
      <w:pPr>
        <w:pStyle w:val="ListBullet"/>
      </w:pPr>
      <w:r w:rsidRPr="001E2637">
        <w:t>Assessment processes and techniques must be appropriate to the language, literacy and numeracy requirements of t</w:t>
      </w:r>
      <w:r w:rsidRPr="001E2637">
        <w:t>he work being performed and the needs of the candidate.</w:t>
      </w:r>
    </w:p>
    <w:p w:rsidR="00000000" w:rsidRPr="001E2637" w:rsidP="001E2637">
      <w:pPr>
        <w:pStyle w:val="ListBullet"/>
      </w:pPr>
      <w:r w:rsidRPr="001E2637">
        <w:t>Conditions for assessment must include access to all tools, equipment, materials and documentation required, including relevant workplace procedures, product and manufacturing specifications associate</w:t>
      </w:r>
      <w:r w:rsidRPr="001E2637">
        <w:t>d with this unit.</w:t>
      </w:r>
    </w:p>
    <w:p w:rsidR="00000000" w:rsidRPr="001E2637" w:rsidP="001E2637">
      <w:pPr>
        <w:pStyle w:val="ListBullet"/>
      </w:pPr>
      <w:r w:rsidRPr="001E2637">
        <w:t>Foundation skills are integral to competent performance of the unit and should not be assessed separately.</w:t>
      </w:r>
    </w:p>
    <w:p w:rsidR="00000000" w:rsidRPr="001E2637" w:rsidP="001E2637">
      <w:pPr>
        <w:pStyle w:val="ListBullet"/>
      </w:pPr>
      <w:r w:rsidRPr="001E2637">
        <w:t>Assessors must satisfy the assessor competency requirements that are in place at the time of the assessment as set by the VET regul</w:t>
      </w:r>
      <w:r w:rsidRPr="001E2637">
        <w:t xml:space="preserve">ator.  </w:t>
      </w:r>
    </w:p>
    <w:p w:rsidR="00000000" w:rsidRPr="001E2637" w:rsidP="001E2637">
      <w:pPr>
        <w:pStyle w:val="ListBullet"/>
      </w:pPr>
      <w:r w:rsidRPr="001E2637">
        <w:t>The assessor must demonstrate both technical competency and currency.</w:t>
      </w:r>
    </w:p>
    <w:p w:rsidR="00000000" w:rsidRPr="001E2637" w:rsidP="001E2637">
      <w:pPr>
        <w:pStyle w:val="ListBullet"/>
      </w:pPr>
      <w:r w:rsidRPr="001E2637">
        <w:t>Technical competence can be demonstrated through:</w:t>
      </w:r>
    </w:p>
    <w:p w:rsidR="00000000" w:rsidRPr="001E2637" w:rsidP="001E2637">
      <w:pPr>
        <w:pStyle w:val="ListBullet2"/>
      </w:pPr>
      <w:r w:rsidRPr="001E2637">
        <w:t>relevant VET or other qualification/Statement of Attainment AND/OR</w:t>
      </w:r>
    </w:p>
    <w:p w:rsidR="00000000" w:rsidRPr="001E2637" w:rsidP="001E2637">
      <w:pPr>
        <w:pStyle w:val="ListBullet2"/>
      </w:pPr>
      <w:r w:rsidRPr="001E2637">
        <w:t xml:space="preserve">relevant workplace experience </w:t>
      </w:r>
    </w:p>
    <w:p w:rsidR="00000000" w:rsidRPr="001E2637" w:rsidP="001E2637">
      <w:pPr>
        <w:pStyle w:val="ListBullet"/>
      </w:pPr>
      <w:r w:rsidRPr="001E2637">
        <w:t>Currency can be demonstrated</w:t>
      </w:r>
      <w:r w:rsidRPr="001E2637">
        <w:t xml:space="preserve"> through:</w:t>
      </w:r>
    </w:p>
    <w:p w:rsidR="00000000" w:rsidRPr="001E2637" w:rsidP="001E2637">
      <w:pPr>
        <w:pStyle w:val="ListBullet2"/>
      </w:pPr>
      <w:r w:rsidRPr="001E2637">
        <w:t>performing the competency being assessed as part of current employment OR</w:t>
      </w:r>
    </w:p>
    <w:p w:rsidR="00000000" w:rsidRPr="001E2637" w:rsidP="001E2637">
      <w:pPr>
        <w:pStyle w:val="ListBullet2"/>
      </w:pPr>
      <w:r w:rsidRPr="001E2637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1E2637" w:rsidP="001E2637">
      <w:pPr>
        <w:pStyle w:val="AllowPageBreak"/>
      </w:pPr>
    </w:p>
    <w:p w:rsidR="00000000" w:rsidRPr="001E2637" w:rsidP="001E2637">
      <w:pPr>
        <w:pStyle w:val="Heading1"/>
      </w:pPr>
      <w:bookmarkStart w:id="5" w:name="O_920411"/>
      <w:bookmarkEnd w:id="5"/>
      <w:r w:rsidRPr="001E2637">
        <w:t>Links</w:t>
      </w:r>
    </w:p>
    <w:p w:rsidR="00000000" w:rsidRPr="001E2637" w:rsidP="00076669">
      <w:pPr>
        <w:pStyle w:val="BodyText"/>
      </w:pPr>
      <w:r w:rsidRPr="001E2637">
        <w:t>Companion Volume implementation guides</w:t>
      </w:r>
      <w:r w:rsidRPr="001E2637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A580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E2637" w:rsidP="001E2637"/>
    <w:sectPr w:rsidSect="001E26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37" w:rsidRPr="00076669" w:rsidP="00076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69" w:rsidP="001E2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6669" w:rsidP="001E2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6669" w:rsidP="001E26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637" w:rsidRPr="00076669" w:rsidP="00076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69" w:rsidRPr="002D2AF8" w:rsidP="001E2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MSS403006 Facilitate implementation or review of competitive systems and practices in an office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076669" w:rsidP="001E26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65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5C0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1A7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6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6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6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6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6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6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6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6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6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6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6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637"/>
  </w:style>
  <w:style w:type="character" w:customStyle="1" w:styleId="Heading1Char">
    <w:name w:val="Heading 1 Char"/>
    <w:basedOn w:val="DefaultParagraphFont"/>
    <w:link w:val="Heading1"/>
    <w:rsid w:val="001E26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6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6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6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26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26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6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6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6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6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6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6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6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6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6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6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6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6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6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6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6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6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6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637"/>
    <w:rPr>
      <w:b/>
      <w:spacing w:val="0"/>
    </w:rPr>
  </w:style>
  <w:style w:type="paragraph" w:customStyle="1" w:styleId="SuperTitle">
    <w:name w:val="SuperTitle"/>
    <w:basedOn w:val="Title"/>
    <w:rsid w:val="001E26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6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6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6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6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6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6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6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6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6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6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6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637"/>
    <w:rPr>
      <w:i/>
    </w:rPr>
  </w:style>
  <w:style w:type="paragraph" w:styleId="Caption">
    <w:name w:val="caption"/>
    <w:basedOn w:val="BodyText"/>
    <w:next w:val="Normal"/>
    <w:qFormat/>
    <w:rsid w:val="001E26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6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6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637"/>
  </w:style>
  <w:style w:type="paragraph" w:styleId="TableofFigures">
    <w:name w:val="table of figures"/>
    <w:basedOn w:val="Normal"/>
    <w:next w:val="Normal"/>
    <w:semiHidden/>
    <w:rsid w:val="001E26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6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2637"/>
    <w:rPr>
      <w:rFonts w:ascii="Wingdings" w:hAnsi="Wingdings"/>
    </w:rPr>
  </w:style>
  <w:style w:type="paragraph" w:customStyle="1" w:styleId="TableHeading">
    <w:name w:val="Table Heading"/>
    <w:basedOn w:val="HeadingBase"/>
    <w:rsid w:val="001E26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637"/>
    <w:rPr>
      <w:color w:val="0033CC"/>
      <w:u w:val="none"/>
    </w:rPr>
  </w:style>
  <w:style w:type="paragraph" w:customStyle="1" w:styleId="BodyTextRight">
    <w:name w:val="Body Text Right"/>
    <w:basedOn w:val="BodyText"/>
    <w:rsid w:val="001E26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6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6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6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6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6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637"/>
    <w:rPr>
      <w:sz w:val="32"/>
    </w:rPr>
  </w:style>
  <w:style w:type="paragraph" w:customStyle="1" w:styleId="HeadingProcedure">
    <w:name w:val="Heading Procedure"/>
    <w:basedOn w:val="HeadingBase"/>
    <w:next w:val="Normal"/>
    <w:rsid w:val="001E26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637"/>
    <w:pPr>
      <w:spacing w:before="60" w:after="60"/>
    </w:pPr>
  </w:style>
  <w:style w:type="paragraph" w:styleId="ListContinue">
    <w:name w:val="List Continue"/>
    <w:basedOn w:val="List"/>
    <w:rsid w:val="001E2637"/>
    <w:pPr>
      <w:ind w:firstLine="0"/>
    </w:pPr>
  </w:style>
  <w:style w:type="paragraph" w:customStyle="1" w:styleId="ListNote">
    <w:name w:val="List Note"/>
    <w:basedOn w:val="List"/>
    <w:rsid w:val="001E26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6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6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637"/>
    <w:rPr>
      <w:rFonts w:ascii="Courier New" w:hAnsi="Courier New"/>
    </w:rPr>
  </w:style>
  <w:style w:type="paragraph" w:customStyle="1" w:styleId="NoteBullet">
    <w:name w:val="Note Bullet"/>
    <w:basedOn w:val="Note"/>
    <w:rsid w:val="001E26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6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6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6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6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6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6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637"/>
    <w:rPr>
      <w:b/>
      <w:smallCaps/>
    </w:rPr>
  </w:style>
  <w:style w:type="paragraph" w:customStyle="1" w:styleId="TableListNumber">
    <w:name w:val="Table List Number"/>
    <w:basedOn w:val="ListNumber"/>
    <w:rsid w:val="001E26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6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637"/>
    <w:pPr>
      <w:numPr>
        <w:numId w:val="9"/>
      </w:numPr>
    </w:pPr>
  </w:style>
  <w:style w:type="paragraph" w:customStyle="1" w:styleId="ListAlpha2">
    <w:name w:val="List Alpha 2"/>
    <w:basedOn w:val="List2"/>
    <w:rsid w:val="001E2637"/>
    <w:pPr>
      <w:numPr>
        <w:numId w:val="8"/>
      </w:numPr>
    </w:pPr>
  </w:style>
  <w:style w:type="paragraph" w:styleId="List2">
    <w:name w:val="List 2"/>
    <w:basedOn w:val="BodyText"/>
    <w:rsid w:val="001E26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6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6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6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6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6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2637"/>
    <w:pPr>
      <w:numPr>
        <w:numId w:val="4"/>
      </w:numPr>
    </w:pPr>
  </w:style>
  <w:style w:type="paragraph" w:styleId="ListContinue2">
    <w:name w:val="List Continue 2"/>
    <w:basedOn w:val="List2"/>
    <w:rsid w:val="001E2637"/>
    <w:pPr>
      <w:ind w:firstLine="0"/>
    </w:pPr>
  </w:style>
  <w:style w:type="paragraph" w:styleId="ListContinue3">
    <w:name w:val="List Continue 3"/>
    <w:basedOn w:val="List3"/>
    <w:rsid w:val="001E2637"/>
    <w:pPr>
      <w:ind w:left="1021" w:firstLine="0"/>
    </w:pPr>
  </w:style>
  <w:style w:type="paragraph" w:styleId="ListContinue4">
    <w:name w:val="List Continue 4"/>
    <w:basedOn w:val="List4"/>
    <w:rsid w:val="001E2637"/>
    <w:pPr>
      <w:ind w:firstLine="0"/>
    </w:pPr>
  </w:style>
  <w:style w:type="paragraph" w:styleId="ListContinue5">
    <w:name w:val="List Continue 5"/>
    <w:basedOn w:val="List5"/>
    <w:rsid w:val="001E2637"/>
    <w:pPr>
      <w:ind w:firstLine="0"/>
    </w:pPr>
  </w:style>
  <w:style w:type="paragraph" w:styleId="ListNumber3">
    <w:name w:val="List Number 3"/>
    <w:basedOn w:val="List3"/>
    <w:rsid w:val="001E2637"/>
    <w:pPr>
      <w:numPr>
        <w:numId w:val="5"/>
      </w:numPr>
    </w:pPr>
  </w:style>
  <w:style w:type="paragraph" w:styleId="ListNumber4">
    <w:name w:val="List Number 4"/>
    <w:basedOn w:val="List4"/>
    <w:rsid w:val="001E2637"/>
    <w:pPr>
      <w:numPr>
        <w:numId w:val="6"/>
      </w:numPr>
    </w:pPr>
  </w:style>
  <w:style w:type="paragraph" w:styleId="ListNumber5">
    <w:name w:val="List Number 5"/>
    <w:basedOn w:val="List5"/>
    <w:rsid w:val="001E2637"/>
    <w:pPr>
      <w:numPr>
        <w:numId w:val="7"/>
      </w:numPr>
    </w:pPr>
  </w:style>
  <w:style w:type="paragraph" w:styleId="BlockText">
    <w:name w:val="Block Text"/>
    <w:basedOn w:val="Normal"/>
    <w:rsid w:val="001E26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6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637"/>
    <w:rPr>
      <w:sz w:val="16"/>
      <w:vertAlign w:val="superscript"/>
    </w:rPr>
  </w:style>
  <w:style w:type="character" w:customStyle="1" w:styleId="Symbols">
    <w:name w:val="Symbols"/>
    <w:basedOn w:val="DefaultParagraphFont"/>
    <w:rsid w:val="001E2637"/>
    <w:rPr>
      <w:rFonts w:ascii="Symbol" w:hAnsi="Symbol"/>
    </w:rPr>
  </w:style>
  <w:style w:type="character" w:customStyle="1" w:styleId="MenuOptions">
    <w:name w:val="Menu Options"/>
    <w:basedOn w:val="DefaultParagraphFont"/>
    <w:rsid w:val="001E26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637"/>
    <w:rPr>
      <w:b/>
    </w:rPr>
  </w:style>
  <w:style w:type="character" w:customStyle="1" w:styleId="Underlined">
    <w:name w:val="Underlined"/>
    <w:basedOn w:val="DefaultParagraphFont"/>
    <w:rsid w:val="001E2637"/>
    <w:rPr>
      <w:u w:val="single"/>
    </w:rPr>
  </w:style>
  <w:style w:type="paragraph" w:customStyle="1" w:styleId="TableBodyTextRight">
    <w:name w:val="Table Body Text Right"/>
    <w:basedOn w:val="TableBodyText"/>
    <w:rsid w:val="001E26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637"/>
    <w:rPr>
      <w:sz w:val="18"/>
    </w:rPr>
  </w:style>
  <w:style w:type="paragraph" w:customStyle="1" w:styleId="BodySmallRight">
    <w:name w:val="Body Small Right"/>
    <w:basedOn w:val="BodyTextRight"/>
    <w:rsid w:val="001E2637"/>
    <w:rPr>
      <w:sz w:val="18"/>
      <w:szCs w:val="18"/>
    </w:rPr>
  </w:style>
  <w:style w:type="paragraph" w:customStyle="1" w:styleId="MarginEdition">
    <w:name w:val="Margin Edition"/>
    <w:basedOn w:val="MarginNote"/>
    <w:rsid w:val="001E26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637"/>
    <w:rPr>
      <w:sz w:val="2"/>
      <w:szCs w:val="2"/>
    </w:rPr>
  </w:style>
  <w:style w:type="character" w:customStyle="1" w:styleId="Small">
    <w:name w:val="Small"/>
    <w:basedOn w:val="DefaultParagraphFont"/>
    <w:rsid w:val="001E2637"/>
    <w:rPr>
      <w:sz w:val="16"/>
    </w:rPr>
  </w:style>
  <w:style w:type="paragraph" w:customStyle="1" w:styleId="WideTable">
    <w:name w:val="Wide Table"/>
    <w:basedOn w:val="Normal"/>
    <w:rsid w:val="001E26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637"/>
  </w:style>
  <w:style w:type="paragraph" w:styleId="Quote">
    <w:name w:val="Quote"/>
    <w:basedOn w:val="Heading1"/>
    <w:link w:val="QuoteChar"/>
    <w:qFormat/>
    <w:rsid w:val="001E26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6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637"/>
    <w:pPr>
      <w:pageBreakBefore/>
    </w:pPr>
  </w:style>
  <w:style w:type="paragraph" w:customStyle="1" w:styleId="Border">
    <w:name w:val="Border"/>
    <w:basedOn w:val="Normal"/>
    <w:qFormat/>
    <w:rsid w:val="001E26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6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6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6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6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6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6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6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6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637"/>
    <w:rPr>
      <w:u w:val="single"/>
    </w:rPr>
  </w:style>
  <w:style w:type="character" w:customStyle="1" w:styleId="BoldandItalics">
    <w:name w:val="Bold and Italics"/>
    <w:qFormat/>
    <w:rsid w:val="001E2637"/>
    <w:rPr>
      <w:b/>
      <w:i/>
      <w:u w:val="none"/>
    </w:rPr>
  </w:style>
  <w:style w:type="paragraph" w:styleId="BalloonText">
    <w:name w:val="Balloon Text"/>
    <w:basedOn w:val="Normal"/>
    <w:link w:val="BalloonTextChar"/>
    <w:rsid w:val="001E2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6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6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6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6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6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637"/>
    <w:pPr>
      <w:spacing w:before="0" w:after="0"/>
    </w:pPr>
  </w:style>
  <w:style w:type="paragraph" w:customStyle="1" w:styleId="BodyTextBold">
    <w:name w:val="Body Text Bold"/>
    <w:basedOn w:val="BodyText"/>
    <w:qFormat/>
    <w:rsid w:val="001E2637"/>
    <w:rPr>
      <w:b/>
    </w:rPr>
  </w:style>
  <w:style w:type="character" w:styleId="Hyperlink">
    <w:name w:val="Hyperlink"/>
    <w:basedOn w:val="DefaultParagraphFont"/>
    <w:uiPriority w:val="99"/>
    <w:unhideWhenUsed/>
    <w:rsid w:val="00076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3159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MSS403006 Facilitate implementation or review of competitive systems and practices in an office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2022-04-05T05:02:00Z</dcterms:created>
  <dcterms:modified xsi:type="dcterms:W3CDTF">2022-04-05T05:02:00Z</dcterms:modified>
</cp:coreProperties>
</file>