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9CB" w:rsidP="006819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MSS402054 Monitor process capability</w:t>
      </w:r>
      <w:r>
        <w:fldChar w:fldCharType="end"/>
      </w:r>
    </w:p>
    <w:p w:rsidR="006819CB" w:rsidP="006819CB">
      <w:pPr>
        <w:pStyle w:val="Version"/>
        <w:sectPr w:rsidSect="00FA73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32E" w:rsidP="00FA732E">
      <w:pPr>
        <w:pStyle w:val="SuperHeading"/>
      </w:pPr>
      <w:r w:rsidRPr="00FA732E">
        <w:t>MSS402054 Monitor process capability</w:t>
      </w:r>
    </w:p>
    <w:p w:rsidR="00000000" w:rsidRPr="00FA732E" w:rsidP="00FA732E">
      <w:pPr>
        <w:pStyle w:val="Heading1"/>
      </w:pPr>
      <w:bookmarkStart w:id="1" w:name="O_1262244"/>
      <w:bookmarkEnd w:id="1"/>
      <w:r w:rsidRPr="00FA732E">
        <w:t>Modification History</w:t>
      </w:r>
    </w:p>
    <w:p w:rsidR="006819CB" w:rsidP="006819CB">
      <w:pPr>
        <w:pStyle w:val="BodyText"/>
      </w:pPr>
      <w:r w:rsidRPr="00FA732E">
        <w:t>Release 1. Unit code changed. Application changed. Elements changed. Performance Criteria changed. Foundation Skills populated. Range of Conditions removed. Assessment Requirements changed. Supersedes and is equivalent to MSS402050 Mon</w:t>
      </w:r>
      <w:r w:rsidRPr="00FA732E">
        <w:t>itor process capability.</w:t>
      </w:r>
    </w:p>
    <w:p w:rsidR="00000000" w:rsidRPr="00FA732E" w:rsidP="00FA732E">
      <w:pPr>
        <w:pStyle w:val="Heading1"/>
      </w:pPr>
      <w:bookmarkStart w:id="2" w:name="O_1262245"/>
      <w:bookmarkEnd w:id="2"/>
      <w:r w:rsidRPr="00FA732E">
        <w:t>Application</w:t>
      </w:r>
    </w:p>
    <w:p w:rsidR="00000000" w:rsidRPr="00FA732E" w:rsidP="006819CB">
      <w:pPr>
        <w:pStyle w:val="BodyText"/>
      </w:pPr>
      <w:r w:rsidRPr="00FA732E">
        <w:t xml:space="preserve">This unit describes the skills and knowledge required to monitor operational data to determine the compliance of a process and to take appropriate action on non-conformances. </w:t>
      </w:r>
    </w:p>
    <w:p w:rsidR="00000000" w:rsidRPr="00FA732E" w:rsidP="006819CB">
      <w:pPr>
        <w:pStyle w:val="BodyText"/>
      </w:pPr>
      <w:r w:rsidRPr="00FA732E">
        <w:t>This unit applies to in</w:t>
      </w:r>
      <w:r w:rsidRPr="00FA732E">
        <w:t xml:space="preserve">dividuals who are required to collect and perform specified manipulations on process data, distinguish between random and non-random variations, take action according to procedures and contribute to process improvements. </w:t>
      </w:r>
    </w:p>
    <w:p w:rsidR="00000000" w:rsidRPr="00FA732E" w:rsidP="006819CB">
      <w:pPr>
        <w:pStyle w:val="BodyText"/>
      </w:pPr>
      <w:r w:rsidRPr="00FA732E">
        <w:t>This unit applies to any organisat</w:t>
      </w:r>
      <w:r w:rsidRPr="00FA732E">
        <w:t xml:space="preserve">ion that is implementing statistical process control and continuous improvement, typically within competitive systems and practices. </w:t>
      </w:r>
    </w:p>
    <w:p w:rsidR="006819CB" w:rsidP="006819CB">
      <w:pPr>
        <w:pStyle w:val="BodyText"/>
      </w:pPr>
      <w:r w:rsidRPr="00FA732E">
        <w:t xml:space="preserve">No licensing or certification requirements exist at the time of publication. Relevant legislation, industry standards and </w:t>
      </w:r>
      <w:r w:rsidRPr="00FA732E">
        <w:t>codes of practice within Australia must be applied.</w:t>
      </w:r>
    </w:p>
    <w:p w:rsidR="00000000" w:rsidRPr="00FA732E" w:rsidP="00FA732E">
      <w:pPr>
        <w:pStyle w:val="Heading1"/>
      </w:pPr>
      <w:bookmarkStart w:id="3" w:name="O_1262247"/>
      <w:bookmarkEnd w:id="3"/>
      <w:r w:rsidRPr="00FA732E">
        <w:t>Competency Field</w:t>
      </w:r>
    </w:p>
    <w:p w:rsidR="006819CB" w:rsidP="006819CB">
      <w:pPr>
        <w:pStyle w:val="BodyText"/>
      </w:pPr>
      <w:r w:rsidRPr="00FA732E">
        <w:t>Competitive systems and practices</w:t>
      </w:r>
    </w:p>
    <w:p w:rsidR="00000000" w:rsidRPr="00FA732E" w:rsidP="00FA732E">
      <w:pPr>
        <w:pStyle w:val="Heading1"/>
      </w:pPr>
      <w:bookmarkStart w:id="4" w:name="O_1262249"/>
      <w:bookmarkEnd w:id="4"/>
      <w:r w:rsidRPr="00FA732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819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2E" w:rsidP="00FA732E">
            <w:pPr>
              <w:pStyle w:val="BodyText"/>
            </w:pPr>
            <w:r w:rsidRPr="00FA732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2E">
            <w:pPr>
              <w:pStyle w:val="BodyText"/>
              <w:rPr>
                <w:lang w:val="en-NZ"/>
              </w:rPr>
            </w:pPr>
            <w:r w:rsidRPr="00FA732E">
              <w:rPr>
                <w:rStyle w:val="SpecialBold"/>
              </w:rPr>
              <w:t>Performance Criteria</w:t>
            </w:r>
          </w:p>
        </w:tc>
      </w:tr>
      <w:tr w:rsidTr="006819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2E">
            <w:pPr>
              <w:pStyle w:val="BodyText"/>
              <w:rPr>
                <w:lang w:val="en-NZ"/>
              </w:rPr>
            </w:pPr>
            <w:r w:rsidRPr="00FA732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2E">
            <w:pPr>
              <w:pStyle w:val="BodyText"/>
              <w:rPr>
                <w:lang w:val="en-NZ"/>
              </w:rPr>
            </w:pPr>
            <w:r w:rsidRPr="00FA732E">
              <w:t>Performance criteria describe the performance needed to demonstrate achievement of the element.</w:t>
            </w:r>
          </w:p>
        </w:tc>
      </w:tr>
      <w:tr w:rsidTr="006819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2E">
            <w:pPr>
              <w:pStyle w:val="BodyText"/>
              <w:rPr>
                <w:lang w:val="en-NZ"/>
              </w:rPr>
            </w:pPr>
            <w:r w:rsidRPr="00FA732E">
              <w:t>1. Collect and process data according to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2E" w:rsidP="00FA732E">
            <w:pPr>
              <w:pStyle w:val="BodyText"/>
            </w:pPr>
            <w:r w:rsidRPr="00FA732E">
              <w:t>1.1 Take specified measurements, readings and/or observations</w:t>
            </w:r>
          </w:p>
          <w:p w:rsidR="00000000" w:rsidRPr="00FA732E" w:rsidP="00FA732E">
            <w:pPr>
              <w:pStyle w:val="BodyText"/>
            </w:pPr>
            <w:r w:rsidRPr="00FA732E">
              <w:t>1.2 Enter data in log, computer or other reco</w:t>
            </w:r>
            <w:r w:rsidRPr="00FA732E">
              <w:t>rd</w:t>
            </w:r>
          </w:p>
          <w:p w:rsidR="00000000" w:rsidP="00FA732E">
            <w:pPr>
              <w:pStyle w:val="BodyText"/>
              <w:rPr>
                <w:lang w:val="en-NZ"/>
              </w:rPr>
            </w:pPr>
            <w:r w:rsidRPr="00FA732E">
              <w:t>1.3 Manipulate and/or chart data</w:t>
            </w:r>
          </w:p>
        </w:tc>
      </w:tr>
      <w:tr w:rsidTr="006819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2E">
            <w:pPr>
              <w:pStyle w:val="BodyText"/>
              <w:rPr>
                <w:lang w:val="en-NZ"/>
              </w:rPr>
            </w:pPr>
            <w:r w:rsidRPr="00FA732E">
              <w:t xml:space="preserve">2. Identify variations that are not random and </w:t>
            </w:r>
            <w:r w:rsidRPr="00FA732E">
              <w:t>take action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2E" w:rsidP="00FA732E">
            <w:pPr>
              <w:pStyle w:val="BodyText"/>
            </w:pPr>
            <w:r w:rsidRPr="00FA732E">
              <w:t>2.1 Examine chart and/or reliability information</w:t>
            </w:r>
          </w:p>
          <w:p w:rsidR="00000000" w:rsidRPr="00FA732E" w:rsidP="00FA732E">
            <w:pPr>
              <w:pStyle w:val="BodyText"/>
            </w:pPr>
            <w:r w:rsidRPr="00FA732E">
              <w:t xml:space="preserve">2.2 Distinguish between random variations and those with an </w:t>
            </w:r>
            <w:r w:rsidRPr="00FA732E">
              <w:t>identifiable cause</w:t>
            </w:r>
          </w:p>
          <w:p w:rsidR="00000000" w:rsidP="00FA732E">
            <w:pPr>
              <w:pStyle w:val="BodyText"/>
              <w:rPr>
                <w:lang w:val="en-NZ"/>
              </w:rPr>
            </w:pPr>
            <w:r w:rsidRPr="00FA732E">
              <w:t>2.3 Take action specified in procedures on variations with an identifiable cause</w:t>
            </w:r>
          </w:p>
        </w:tc>
      </w:tr>
      <w:tr w:rsidTr="006819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2E">
            <w:pPr>
              <w:pStyle w:val="BodyText"/>
              <w:rPr>
                <w:lang w:val="en-NZ"/>
              </w:rPr>
            </w:pPr>
            <w:r w:rsidRPr="00FA732E">
              <w:t>3. Assist in process improvement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2E" w:rsidP="00FA732E">
            <w:pPr>
              <w:pStyle w:val="BodyText"/>
            </w:pPr>
            <w:r w:rsidRPr="00FA732E">
              <w:t>3.1 Collect data for process capability improvement trials</w:t>
            </w:r>
          </w:p>
          <w:p w:rsidR="00000000" w:rsidRPr="00FA732E" w:rsidP="00FA732E">
            <w:pPr>
              <w:pStyle w:val="BodyText"/>
            </w:pPr>
            <w:r w:rsidRPr="00FA732E">
              <w:t>3.2 Make recommendations for improvement</w:t>
            </w:r>
          </w:p>
          <w:p w:rsidR="00000000" w:rsidRPr="00FA732E" w:rsidP="00FA732E">
            <w:pPr>
              <w:pStyle w:val="BodyText"/>
            </w:pPr>
            <w:r w:rsidRPr="00FA732E">
              <w:t>3.3 Implement revised capability monitori</w:t>
            </w:r>
            <w:r w:rsidRPr="00FA732E">
              <w:t>ng procedures</w:t>
            </w:r>
          </w:p>
        </w:tc>
      </w:tr>
    </w:tbl>
    <w:p w:rsidR="006819CB" w:rsidP="00FA732E">
      <w:pPr>
        <w:pStyle w:val="BodyText"/>
      </w:pPr>
    </w:p>
    <w:p w:rsidR="006819CB" w:rsidP="00FA732E">
      <w:pPr>
        <w:pStyle w:val="BodyText"/>
      </w:pPr>
    </w:p>
    <w:p w:rsidR="00000000" w:rsidRPr="00FA732E" w:rsidP="00FA732E">
      <w:pPr>
        <w:pStyle w:val="Heading1"/>
      </w:pPr>
      <w:bookmarkStart w:id="5" w:name="O_1262250"/>
      <w:bookmarkEnd w:id="5"/>
      <w:r w:rsidRPr="00FA732E">
        <w:t>Foundation Skills</w:t>
      </w:r>
    </w:p>
    <w:p w:rsidR="00000000" w:rsidRPr="00FA732E" w:rsidP="006819CB">
      <w:pPr>
        <w:pStyle w:val="BodyText"/>
      </w:pPr>
      <w:r w:rsidRPr="00FA732E">
        <w:t>This section describes those language, literacy, numeracy and employment skills that are essential to performance but not explicit in the performance criteria.</w:t>
      </w:r>
    </w:p>
    <w:p w:rsidR="00000000" w:rsidRPr="00FA732E" w:rsidP="00FA732E">
      <w:pPr>
        <w:pStyle w:val="ListBullet"/>
      </w:pPr>
      <w:r w:rsidRPr="00FA732E">
        <w:t>Reading skills to understand workplace do</w:t>
      </w:r>
      <w:r w:rsidRPr="00FA732E">
        <w:t>cumentation</w:t>
      </w:r>
    </w:p>
    <w:p w:rsidR="00000000" w:rsidRPr="00FA732E" w:rsidP="00FA732E">
      <w:pPr>
        <w:pStyle w:val="ListBullet"/>
      </w:pPr>
      <w:r w:rsidRPr="00FA732E">
        <w:t>Writing skills to record and/or enter data</w:t>
      </w:r>
    </w:p>
    <w:p w:rsidR="00000000" w:rsidRPr="00FA732E" w:rsidP="00FA732E">
      <w:pPr>
        <w:pStyle w:val="ListBullet"/>
      </w:pPr>
      <w:r w:rsidRPr="00FA732E">
        <w:t>Oral communication skills to discuss process improvements</w:t>
      </w:r>
    </w:p>
    <w:p w:rsidR="00000000" w:rsidRPr="00FA732E" w:rsidP="00FA732E">
      <w:pPr>
        <w:pStyle w:val="ListBullet"/>
      </w:pPr>
      <w:r w:rsidRPr="00FA732E">
        <w:t>Numeracy skills to collect and manipulate data, identify non-random variations.</w:t>
      </w:r>
      <w:r w:rsidRPr="00FA732E">
        <w:br/>
      </w:r>
    </w:p>
    <w:p w:rsidR="006819CB" w:rsidP="006819CB">
      <w:pPr>
        <w:pStyle w:val="BodyText"/>
      </w:pPr>
      <w:r w:rsidRPr="00FA732E">
        <w:t>Other foundation skills essential to performance are explicit in the performance criteria of this unit.</w:t>
      </w:r>
    </w:p>
    <w:p w:rsidR="00000000" w:rsidRPr="00FA732E" w:rsidP="00FA732E">
      <w:pPr>
        <w:pStyle w:val="Heading1"/>
      </w:pPr>
      <w:bookmarkStart w:id="6" w:name="O_1262252"/>
      <w:bookmarkEnd w:id="6"/>
      <w:r w:rsidRPr="00FA732E">
        <w:t>Unit Mapping Information</w:t>
      </w:r>
    </w:p>
    <w:p w:rsidR="006819CB" w:rsidP="006819CB">
      <w:pPr>
        <w:pStyle w:val="BodyText"/>
      </w:pPr>
      <w:r w:rsidRPr="00FA732E">
        <w:t>Release 1. Supersedes and is equivalent to MSS402050 Monitor process capability.</w:t>
      </w:r>
    </w:p>
    <w:p w:rsidR="00000000" w:rsidRPr="00FA732E" w:rsidP="00FA732E">
      <w:pPr>
        <w:pStyle w:val="Heading1"/>
      </w:pPr>
      <w:bookmarkStart w:id="7" w:name="O_1262259"/>
      <w:bookmarkEnd w:id="7"/>
      <w:r w:rsidRPr="00FA732E">
        <w:t>Links</w:t>
      </w:r>
    </w:p>
    <w:p w:rsidR="00000000" w:rsidRPr="00FA732E" w:rsidP="006819CB">
      <w:pPr>
        <w:pStyle w:val="BodyText"/>
      </w:pPr>
      <w:r w:rsidRPr="00FA732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A36F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A732E" w:rsidP="006819CB">
      <w:pPr>
        <w:pStyle w:val="BodyText"/>
        <w:sectPr w:rsidSect="00FA73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732E" w:rsidP="00FA732E">
      <w:pPr>
        <w:pStyle w:val="SuperHeading"/>
      </w:pPr>
      <w:r w:rsidRPr="00FA732E">
        <w:t>Assessment Requirements for MSS402054 Monitor process capabil</w:t>
      </w:r>
      <w:r w:rsidRPr="00FA732E">
        <w:t>ity</w:t>
      </w:r>
    </w:p>
    <w:p w:rsidR="00000000" w:rsidRPr="00FA732E" w:rsidP="00FA732E">
      <w:pPr>
        <w:pStyle w:val="Heading1"/>
      </w:pPr>
      <w:bookmarkStart w:id="8" w:name="O_1262254"/>
      <w:bookmarkEnd w:id="8"/>
      <w:r w:rsidRPr="00FA732E">
        <w:t>Modification History</w:t>
      </w:r>
    </w:p>
    <w:p w:rsidR="006819CB" w:rsidP="006819CB">
      <w:pPr>
        <w:pStyle w:val="BodyText"/>
      </w:pPr>
      <w:r w:rsidRPr="00FA732E">
        <w:t>Release 1. Unit code changed. Application changed. Elements changed. Performance Criteria changed. Foundation Skills populated. Range of Conditions removed. Assessment Requirements changed. Supersedes and is equiv</w:t>
      </w:r>
      <w:r w:rsidRPr="00FA732E">
        <w:t>alent to MSS402050 Monitor process capability.</w:t>
      </w:r>
    </w:p>
    <w:p w:rsidR="00000000" w:rsidRPr="00FA732E" w:rsidP="00FA732E">
      <w:pPr>
        <w:pStyle w:val="Heading1"/>
      </w:pPr>
      <w:bookmarkStart w:id="9" w:name="O_1262255"/>
      <w:bookmarkEnd w:id="9"/>
      <w:r w:rsidRPr="00FA732E">
        <w:t>Performance Evidence</w:t>
      </w:r>
    </w:p>
    <w:p w:rsidR="00000000" w:rsidRPr="00FA732E" w:rsidP="006819CB">
      <w:pPr>
        <w:pStyle w:val="BodyText"/>
      </w:pPr>
      <w:r w:rsidRPr="00FA732E">
        <w:t>There must be evidence the candidate has completed the tasks outlined in the elements and performance criteria of this unit, and demonstrated the ability to:</w:t>
      </w:r>
    </w:p>
    <w:p w:rsidR="00000000" w:rsidRPr="00FA732E" w:rsidP="00FA732E">
      <w:pPr>
        <w:pStyle w:val="ListBullet"/>
      </w:pPr>
      <w:r w:rsidRPr="00FA732E">
        <w:t>collect and process data according to procedures on at least 2 occasions</w:t>
      </w:r>
    </w:p>
    <w:p w:rsidR="00000000" w:rsidRPr="00FA732E" w:rsidP="00FA732E">
      <w:pPr>
        <w:pStyle w:val="ListBullet"/>
      </w:pPr>
      <w:r w:rsidRPr="00FA732E">
        <w:t>identify at least 2 non-random variations and take action specified in the procedures</w:t>
      </w:r>
    </w:p>
    <w:p w:rsidR="006819CB" w:rsidP="00FA732E">
      <w:pPr>
        <w:pStyle w:val="ListBullet"/>
      </w:pPr>
      <w:r w:rsidRPr="00FA732E">
        <w:t xml:space="preserve">assist in at least one process improvement. </w:t>
      </w:r>
    </w:p>
    <w:p w:rsidR="006819CB" w:rsidP="00FA732E">
      <w:pPr>
        <w:pStyle w:val="ListBullet"/>
      </w:pPr>
    </w:p>
    <w:p w:rsidR="00000000" w:rsidRPr="00FA732E" w:rsidP="00FA732E">
      <w:pPr>
        <w:pStyle w:val="Heading1"/>
      </w:pPr>
      <w:bookmarkStart w:id="10" w:name="O_1262256"/>
      <w:bookmarkEnd w:id="10"/>
      <w:r w:rsidRPr="00FA732E">
        <w:t>Knowledge Evidence</w:t>
      </w:r>
    </w:p>
    <w:p w:rsidR="00000000" w:rsidRPr="00FA732E" w:rsidP="006819CB">
      <w:pPr>
        <w:pStyle w:val="BodyText"/>
      </w:pPr>
      <w:r w:rsidRPr="00FA732E">
        <w:t>There must be</w:t>
      </w:r>
      <w:r w:rsidRPr="00FA732E">
        <w:t xml:space="preserve"> evidence the candidate has knowledge of:</w:t>
      </w:r>
    </w:p>
    <w:p w:rsidR="00000000" w:rsidRPr="00FA732E" w:rsidP="00FA732E">
      <w:pPr>
        <w:pStyle w:val="ListBullet"/>
      </w:pPr>
      <w:r w:rsidRPr="00FA732E">
        <w:t>different meanings of process capability</w:t>
      </w:r>
    </w:p>
    <w:p w:rsidR="00000000" w:rsidRPr="00FA732E" w:rsidP="00FA732E">
      <w:pPr>
        <w:pStyle w:val="ListBullet"/>
      </w:pPr>
      <w:r w:rsidRPr="00FA732E">
        <w:t>defects and defective product</w:t>
      </w:r>
    </w:p>
    <w:p w:rsidR="00000000" w:rsidRPr="00FA732E" w:rsidP="00FA732E">
      <w:pPr>
        <w:pStyle w:val="ListBullet"/>
      </w:pPr>
      <w:r w:rsidRPr="00FA732E">
        <w:t>variation and the related statistical distribution</w:t>
      </w:r>
    </w:p>
    <w:p w:rsidR="00000000" w:rsidRPr="00FA732E" w:rsidP="00FA732E">
      <w:pPr>
        <w:pStyle w:val="ListBullet"/>
      </w:pPr>
      <w:r w:rsidRPr="00FA732E">
        <w:t>control charting (or similar) methods</w:t>
      </w:r>
    </w:p>
    <w:p w:rsidR="00000000" w:rsidRPr="00FA732E" w:rsidP="00FA732E">
      <w:pPr>
        <w:pStyle w:val="ListBullet"/>
      </w:pPr>
      <w:r w:rsidRPr="00FA732E">
        <w:t>analysis of information to identify trends or other n</w:t>
      </w:r>
      <w:r w:rsidRPr="00FA732E">
        <w:t>on-random results</w:t>
      </w:r>
    </w:p>
    <w:p w:rsidR="00000000" w:rsidRPr="00FA732E" w:rsidP="00FA732E">
      <w:pPr>
        <w:pStyle w:val="ListBullet"/>
      </w:pPr>
      <w:r w:rsidRPr="00FA732E">
        <w:t>determination of identifiable causes from variation information</w:t>
      </w:r>
    </w:p>
    <w:p w:rsidR="006819CB" w:rsidP="00FA732E">
      <w:pPr>
        <w:pStyle w:val="ListBullet"/>
      </w:pPr>
      <w:r w:rsidRPr="00FA732E">
        <w:t>procedures for recommending improvements.</w:t>
      </w:r>
    </w:p>
    <w:p w:rsidR="006819CB" w:rsidP="00FA732E">
      <w:pPr>
        <w:pStyle w:val="ListBullet"/>
      </w:pPr>
    </w:p>
    <w:p w:rsidR="00000000" w:rsidRPr="00FA732E" w:rsidP="00FA732E">
      <w:pPr>
        <w:pStyle w:val="Heading1"/>
      </w:pPr>
      <w:bookmarkStart w:id="11" w:name="O_1262257"/>
      <w:bookmarkEnd w:id="11"/>
      <w:r w:rsidRPr="00FA732E">
        <w:t>Assessment Conditions</w:t>
      </w:r>
    </w:p>
    <w:p w:rsidR="00000000" w:rsidRPr="00FA732E" w:rsidP="006819CB">
      <w:pPr>
        <w:pStyle w:val="BodyText"/>
      </w:pPr>
      <w:r w:rsidRPr="00FA732E">
        <w:t>Skills must have been demonstrated in the workplace or in a simulated environment that reflects workplace conditions and contingencies. The following conditions must be met for this unit:</w:t>
      </w:r>
    </w:p>
    <w:p w:rsidR="00000000" w:rsidRPr="00FA732E" w:rsidP="00FA732E">
      <w:pPr>
        <w:pStyle w:val="ListBullet"/>
      </w:pPr>
      <w:r w:rsidRPr="00FA732E">
        <w:t>use of suitable facilities, equipment and resources, including:</w:t>
      </w:r>
    </w:p>
    <w:p w:rsidR="00000000" w:rsidRPr="00FA732E" w:rsidP="00FA732E">
      <w:pPr>
        <w:pStyle w:val="ListBullet2"/>
      </w:pPr>
      <w:r w:rsidRPr="00FA732E">
        <w:t>fu</w:t>
      </w:r>
      <w:r w:rsidRPr="00FA732E">
        <w:t>nctioning statistical process control systems</w:t>
      </w:r>
    </w:p>
    <w:p w:rsidR="00000000" w:rsidRPr="00FA732E" w:rsidP="00FA732E">
      <w:pPr>
        <w:pStyle w:val="ListBullet"/>
      </w:pPr>
      <w:r w:rsidRPr="00FA732E">
        <w:t>modelling of industry operating conditions.</w:t>
      </w:r>
      <w:r w:rsidRPr="00FA732E">
        <w:br/>
      </w:r>
    </w:p>
    <w:p w:rsidR="006819CB" w:rsidP="006819CB">
      <w:pPr>
        <w:pStyle w:val="BodyText"/>
      </w:pPr>
      <w:r w:rsidRPr="00FA732E">
        <w:t>Assessors must satisfy the NVR/AQTF mandatory competency requirements for assessors.</w:t>
      </w:r>
    </w:p>
    <w:p w:rsidR="00000000" w:rsidRPr="00FA732E" w:rsidP="00FA732E">
      <w:pPr>
        <w:pStyle w:val="Heading1"/>
      </w:pPr>
      <w:bookmarkStart w:id="12" w:name="O_1262260"/>
      <w:bookmarkEnd w:id="12"/>
      <w:r w:rsidRPr="00FA732E">
        <w:t>Links</w:t>
      </w:r>
    </w:p>
    <w:p w:rsidR="00000000" w:rsidRPr="00FA732E" w:rsidP="006819CB">
      <w:pPr>
        <w:pStyle w:val="BodyText"/>
      </w:pPr>
      <w:r w:rsidRPr="00FA732E">
        <w:t>Companion Volume Implementation Guides are found in V</w:t>
      </w:r>
      <w:r w:rsidRPr="00FA732E">
        <w:t xml:space="preserve">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A36F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A732E" w:rsidP="00FA732E"/>
    <w:sectPr w:rsidSect="00FA73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2E" w:rsidRPr="006819CB" w:rsidP="006819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CB" w:rsidP="00FA7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9CB" w:rsidP="00FA7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819CB" w:rsidP="00FA73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2E" w:rsidP="00FA7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19CB">
      <w:t>Approved</w:t>
    </w:r>
    <w:r w:rsidR="006819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19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19CB">
      <w:rPr>
        <w:noProof/>
      </w:rPr>
      <w:t>4</w:t>
    </w:r>
    <w:r>
      <w:rPr>
        <w:noProof/>
      </w:rPr>
      <w:fldChar w:fldCharType="end"/>
    </w:r>
  </w:p>
  <w:p w:rsidR="00FA732E" w:rsidP="00FA7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19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19CB">
      <w:t>Manufacturing Industry Skills Alliance</w:t>
    </w:r>
    <w:r w:rsidR="006819CB">
      <w:fldChar w:fldCharType="end"/>
    </w:r>
  </w:p>
  <w:p w:rsidR="00FA732E" w:rsidP="00FA73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32E" w:rsidRPr="006819CB" w:rsidP="006819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CB" w:rsidRPr="002D2AF8" w:rsidP="00FA7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MSS402054 Monitor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819CB" w:rsidP="00FA73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2E" w:rsidRPr="002D2AF8" w:rsidP="00FA7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19CB">
      <w:t>MSS402054 Monitor process capability</w:t>
    </w:r>
    <w:r w:rsidR="006819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19CB">
      <w:rPr>
        <w:noProof/>
      </w:rPr>
      <w:t>1 March 2025</w:t>
    </w:r>
    <w:r>
      <w:fldChar w:fldCharType="end"/>
    </w:r>
  </w:p>
  <w:p w:rsidR="00FA732E" w:rsidP="00FA73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563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52D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0ABE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3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3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3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3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3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3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3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3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3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3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3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32E"/>
  </w:style>
  <w:style w:type="character" w:customStyle="1" w:styleId="Heading1Char">
    <w:name w:val="Heading 1 Char"/>
    <w:basedOn w:val="DefaultParagraphFont"/>
    <w:link w:val="Heading1"/>
    <w:rsid w:val="00FA73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3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3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3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32E"/>
    <w:rPr>
      <w:b/>
      <w:spacing w:val="0"/>
    </w:rPr>
  </w:style>
  <w:style w:type="paragraph" w:styleId="ListBullet2">
    <w:name w:val="List Bullet 2"/>
    <w:basedOn w:val="List2"/>
    <w:rsid w:val="00FA73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73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3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73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3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3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3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3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3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3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3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3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3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3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3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3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3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3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3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3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3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3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73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3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3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3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3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3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3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3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3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732E"/>
    <w:rPr>
      <w:i/>
    </w:rPr>
  </w:style>
  <w:style w:type="paragraph" w:styleId="Caption">
    <w:name w:val="caption"/>
    <w:basedOn w:val="BodyText"/>
    <w:next w:val="Normal"/>
    <w:qFormat/>
    <w:rsid w:val="00FA73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3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3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32E"/>
  </w:style>
  <w:style w:type="paragraph" w:styleId="TableofFigures">
    <w:name w:val="table of figures"/>
    <w:basedOn w:val="Normal"/>
    <w:next w:val="Normal"/>
    <w:semiHidden/>
    <w:rsid w:val="00FA73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3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732E"/>
    <w:rPr>
      <w:rFonts w:ascii="Wingdings" w:hAnsi="Wingdings"/>
    </w:rPr>
  </w:style>
  <w:style w:type="paragraph" w:customStyle="1" w:styleId="TableHeading">
    <w:name w:val="Table Heading"/>
    <w:basedOn w:val="HeadingBase"/>
    <w:rsid w:val="00FA73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32E"/>
    <w:rPr>
      <w:color w:val="0033CC"/>
      <w:u w:val="none"/>
    </w:rPr>
  </w:style>
  <w:style w:type="paragraph" w:customStyle="1" w:styleId="BodyTextRight">
    <w:name w:val="Body Text Right"/>
    <w:basedOn w:val="BodyText"/>
    <w:rsid w:val="00FA73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3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3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3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3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3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32E"/>
    <w:rPr>
      <w:sz w:val="32"/>
    </w:rPr>
  </w:style>
  <w:style w:type="paragraph" w:customStyle="1" w:styleId="HeadingProcedure">
    <w:name w:val="Heading Procedure"/>
    <w:basedOn w:val="HeadingBase"/>
    <w:next w:val="Normal"/>
    <w:rsid w:val="00FA73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32E"/>
    <w:pPr>
      <w:spacing w:before="60" w:after="60"/>
    </w:pPr>
  </w:style>
  <w:style w:type="paragraph" w:styleId="ListContinue">
    <w:name w:val="List Continue"/>
    <w:basedOn w:val="List"/>
    <w:rsid w:val="00FA732E"/>
    <w:pPr>
      <w:ind w:firstLine="0"/>
    </w:pPr>
  </w:style>
  <w:style w:type="paragraph" w:customStyle="1" w:styleId="ListNote">
    <w:name w:val="List Note"/>
    <w:basedOn w:val="List"/>
    <w:rsid w:val="00FA73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3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3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32E"/>
    <w:rPr>
      <w:rFonts w:ascii="Courier New" w:hAnsi="Courier New"/>
    </w:rPr>
  </w:style>
  <w:style w:type="paragraph" w:customStyle="1" w:styleId="NoteBullet">
    <w:name w:val="Note Bullet"/>
    <w:basedOn w:val="Note"/>
    <w:rsid w:val="00FA73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3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3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3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3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73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3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32E"/>
    <w:rPr>
      <w:b/>
      <w:smallCaps/>
    </w:rPr>
  </w:style>
  <w:style w:type="paragraph" w:customStyle="1" w:styleId="TableListNumber">
    <w:name w:val="Table List Number"/>
    <w:basedOn w:val="ListNumber"/>
    <w:rsid w:val="00FA73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3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32E"/>
    <w:pPr>
      <w:numPr>
        <w:numId w:val="9"/>
      </w:numPr>
    </w:pPr>
  </w:style>
  <w:style w:type="paragraph" w:customStyle="1" w:styleId="ListAlpha2">
    <w:name w:val="List Alpha 2"/>
    <w:basedOn w:val="List2"/>
    <w:rsid w:val="00FA732E"/>
    <w:pPr>
      <w:numPr>
        <w:numId w:val="8"/>
      </w:numPr>
    </w:pPr>
  </w:style>
  <w:style w:type="paragraph" w:styleId="List2">
    <w:name w:val="List 2"/>
    <w:basedOn w:val="BodyText"/>
    <w:rsid w:val="00FA73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3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3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3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3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3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732E"/>
    <w:pPr>
      <w:numPr>
        <w:numId w:val="4"/>
      </w:numPr>
    </w:pPr>
  </w:style>
  <w:style w:type="paragraph" w:styleId="ListContinue2">
    <w:name w:val="List Continue 2"/>
    <w:basedOn w:val="List2"/>
    <w:rsid w:val="00FA732E"/>
    <w:pPr>
      <w:ind w:firstLine="0"/>
    </w:pPr>
  </w:style>
  <w:style w:type="paragraph" w:styleId="ListContinue3">
    <w:name w:val="List Continue 3"/>
    <w:basedOn w:val="List3"/>
    <w:rsid w:val="00FA732E"/>
    <w:pPr>
      <w:ind w:left="1021" w:firstLine="0"/>
    </w:pPr>
  </w:style>
  <w:style w:type="paragraph" w:styleId="ListContinue4">
    <w:name w:val="List Continue 4"/>
    <w:basedOn w:val="List4"/>
    <w:rsid w:val="00FA732E"/>
    <w:pPr>
      <w:ind w:firstLine="0"/>
    </w:pPr>
  </w:style>
  <w:style w:type="paragraph" w:styleId="ListContinue5">
    <w:name w:val="List Continue 5"/>
    <w:basedOn w:val="List5"/>
    <w:rsid w:val="00FA732E"/>
    <w:pPr>
      <w:ind w:firstLine="0"/>
    </w:pPr>
  </w:style>
  <w:style w:type="paragraph" w:styleId="ListNumber3">
    <w:name w:val="List Number 3"/>
    <w:basedOn w:val="List3"/>
    <w:rsid w:val="00FA732E"/>
    <w:pPr>
      <w:numPr>
        <w:numId w:val="5"/>
      </w:numPr>
    </w:pPr>
  </w:style>
  <w:style w:type="paragraph" w:styleId="ListNumber4">
    <w:name w:val="List Number 4"/>
    <w:basedOn w:val="List4"/>
    <w:rsid w:val="00FA732E"/>
    <w:pPr>
      <w:numPr>
        <w:numId w:val="6"/>
      </w:numPr>
    </w:pPr>
  </w:style>
  <w:style w:type="paragraph" w:styleId="ListNumber5">
    <w:name w:val="List Number 5"/>
    <w:basedOn w:val="List5"/>
    <w:rsid w:val="00FA732E"/>
    <w:pPr>
      <w:numPr>
        <w:numId w:val="7"/>
      </w:numPr>
    </w:pPr>
  </w:style>
  <w:style w:type="paragraph" w:styleId="BlockText">
    <w:name w:val="Block Text"/>
    <w:basedOn w:val="Normal"/>
    <w:rsid w:val="00FA73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3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32E"/>
    <w:rPr>
      <w:sz w:val="16"/>
      <w:vertAlign w:val="superscript"/>
    </w:rPr>
  </w:style>
  <w:style w:type="character" w:customStyle="1" w:styleId="Symbols">
    <w:name w:val="Symbols"/>
    <w:basedOn w:val="DefaultParagraphFont"/>
    <w:rsid w:val="00FA732E"/>
    <w:rPr>
      <w:rFonts w:ascii="Symbol" w:hAnsi="Symbol"/>
    </w:rPr>
  </w:style>
  <w:style w:type="character" w:customStyle="1" w:styleId="MenuOptions">
    <w:name w:val="Menu Options"/>
    <w:basedOn w:val="DefaultParagraphFont"/>
    <w:rsid w:val="00FA73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32E"/>
    <w:rPr>
      <w:b/>
    </w:rPr>
  </w:style>
  <w:style w:type="character" w:customStyle="1" w:styleId="Underlined">
    <w:name w:val="Underlined"/>
    <w:basedOn w:val="DefaultParagraphFont"/>
    <w:rsid w:val="00FA732E"/>
    <w:rPr>
      <w:u w:val="single"/>
    </w:rPr>
  </w:style>
  <w:style w:type="paragraph" w:customStyle="1" w:styleId="TableBodyTextRight">
    <w:name w:val="Table Body Text Right"/>
    <w:basedOn w:val="TableBodyText"/>
    <w:rsid w:val="00FA73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32E"/>
    <w:rPr>
      <w:sz w:val="18"/>
    </w:rPr>
  </w:style>
  <w:style w:type="paragraph" w:customStyle="1" w:styleId="BodySmallRight">
    <w:name w:val="Body Small Right"/>
    <w:basedOn w:val="BodyTextRight"/>
    <w:rsid w:val="00FA732E"/>
    <w:rPr>
      <w:sz w:val="18"/>
      <w:szCs w:val="18"/>
    </w:rPr>
  </w:style>
  <w:style w:type="paragraph" w:customStyle="1" w:styleId="MarginEdition">
    <w:name w:val="Margin Edition"/>
    <w:basedOn w:val="MarginNote"/>
    <w:rsid w:val="00FA73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32E"/>
    <w:rPr>
      <w:sz w:val="2"/>
      <w:szCs w:val="2"/>
    </w:rPr>
  </w:style>
  <w:style w:type="character" w:customStyle="1" w:styleId="Small">
    <w:name w:val="Small"/>
    <w:basedOn w:val="DefaultParagraphFont"/>
    <w:rsid w:val="00FA732E"/>
    <w:rPr>
      <w:sz w:val="16"/>
    </w:rPr>
  </w:style>
  <w:style w:type="paragraph" w:customStyle="1" w:styleId="WideTable">
    <w:name w:val="Wide Table"/>
    <w:basedOn w:val="Normal"/>
    <w:rsid w:val="00FA73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32E"/>
  </w:style>
  <w:style w:type="paragraph" w:styleId="Quote">
    <w:name w:val="Quote"/>
    <w:basedOn w:val="Heading1"/>
    <w:link w:val="QuoteChar"/>
    <w:qFormat/>
    <w:rsid w:val="00FA73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3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32E"/>
    <w:pPr>
      <w:pageBreakBefore/>
    </w:pPr>
  </w:style>
  <w:style w:type="paragraph" w:customStyle="1" w:styleId="Border">
    <w:name w:val="Border"/>
    <w:basedOn w:val="Normal"/>
    <w:qFormat/>
    <w:rsid w:val="00FA73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3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3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3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3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3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3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3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3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32E"/>
    <w:rPr>
      <w:u w:val="single"/>
    </w:rPr>
  </w:style>
  <w:style w:type="character" w:customStyle="1" w:styleId="BoldandItalics">
    <w:name w:val="Bold and Italics"/>
    <w:qFormat/>
    <w:rsid w:val="00FA732E"/>
    <w:rPr>
      <w:b/>
      <w:i/>
      <w:u w:val="none"/>
    </w:rPr>
  </w:style>
  <w:style w:type="paragraph" w:styleId="BalloonText">
    <w:name w:val="Balloon Text"/>
    <w:basedOn w:val="Normal"/>
    <w:link w:val="BalloonTextChar"/>
    <w:rsid w:val="00FA7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3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3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3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3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3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32E"/>
    <w:pPr>
      <w:spacing w:before="0" w:after="0"/>
    </w:pPr>
  </w:style>
  <w:style w:type="paragraph" w:customStyle="1" w:styleId="BodyTextBold">
    <w:name w:val="Body Text Bold"/>
    <w:basedOn w:val="BodyText"/>
    <w:qFormat/>
    <w:rsid w:val="00FA732E"/>
    <w:rPr>
      <w:b/>
    </w:rPr>
  </w:style>
  <w:style w:type="character" w:styleId="Hyperlink">
    <w:name w:val="Hyperlink"/>
    <w:basedOn w:val="DefaultParagraphFont"/>
    <w:uiPriority w:val="99"/>
    <w:unhideWhenUsed/>
    <w:rsid w:val="006819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4232</Characters>
  <Application>Microsoft Office Word</Application>
  <DocSecurity>0</DocSecurity>
  <Lines>117</Lines>
  <Paragraphs>78</Paragraphs>
  <ScaleCrop>false</ScaleCrop>
  <Company>Author-it Software Corporation Ltd.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MSS402054 Monitor process capability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2025-03-01T09:55:00Z</dcterms:created>
  <dcterms:modified xsi:type="dcterms:W3CDTF">2025-03-01T09:55:00Z</dcterms:modified>
</cp:coreProperties>
</file>