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2374" w:rsidP="001E2374">
      <w:pPr>
        <w:pStyle w:val="Title"/>
      </w:pPr>
      <w:r>
        <w:fldChar w:fldCharType="begin"/>
      </w:r>
      <w:r>
        <w:instrText xml:space="preserve"> TITLE   \* MERGEFORMAT </w:instrText>
      </w:r>
      <w:r>
        <w:fldChar w:fldCharType="separate"/>
      </w:r>
      <w:r>
        <w:t>MSS402020 Apply quick changeover procedures</w:t>
      </w:r>
      <w:r>
        <w:fldChar w:fldCharType="end"/>
      </w:r>
    </w:p>
    <w:p w:rsidR="001E2374" w:rsidP="001E2374">
      <w:pPr>
        <w:pStyle w:val="Version"/>
        <w:sectPr w:rsidSect="00AF16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160B" w:rsidP="00AF160B">
      <w:pPr>
        <w:pStyle w:val="SuperHeading"/>
      </w:pPr>
      <w:r w:rsidRPr="00AF160B">
        <w:t>MSS402020 Apply quick changeover procedures</w:t>
      </w:r>
    </w:p>
    <w:p w:rsidR="00000000" w:rsidRPr="00AF160B" w:rsidP="00AF160B">
      <w:pPr>
        <w:pStyle w:val="Heading1"/>
      </w:pPr>
      <w:bookmarkStart w:id="1" w:name="O_919864"/>
      <w:bookmarkEnd w:id="1"/>
      <w:r w:rsidRPr="00AF160B">
        <w:t>Modification History</w:t>
      </w:r>
    </w:p>
    <w:p w:rsidR="00000000" w:rsidRPr="00AF160B" w:rsidP="001E2374">
      <w:pPr>
        <w:pStyle w:val="BodyText"/>
      </w:pPr>
      <w:r w:rsidRPr="00AF160B">
        <w:t>Release 1. Supersedes and is equivalent to MSS402020A Apply quick changeover procedures</w:t>
      </w:r>
    </w:p>
    <w:p w:rsidR="00000000" w:rsidRPr="00AF160B" w:rsidP="00AF160B">
      <w:pPr>
        <w:pStyle w:val="Heading1"/>
      </w:pPr>
      <w:bookmarkStart w:id="2" w:name="O_919872"/>
      <w:bookmarkEnd w:id="2"/>
      <w:r w:rsidRPr="00AF160B">
        <w:t>Application</w:t>
      </w:r>
    </w:p>
    <w:p w:rsidR="00000000" w:rsidRPr="00AF160B" w:rsidP="001E2374">
      <w:pPr>
        <w:pStyle w:val="BodyText"/>
      </w:pPr>
      <w:r w:rsidRPr="00AF160B">
        <w:t>This unit of competency covers the skills and knowledge required to apply quick changeover procedures in an organisati</w:t>
      </w:r>
      <w:r w:rsidRPr="00AF160B">
        <w:t>on implementing competitive systems and practices.</w:t>
      </w:r>
    </w:p>
    <w:p w:rsidR="00000000" w:rsidRPr="00AF160B" w:rsidP="001E2374">
      <w:pPr>
        <w:pStyle w:val="BodyText"/>
      </w:pPr>
      <w:r w:rsidRPr="00AF160B">
        <w:t xml:space="preserve">This unit applies to individuals in an organisation which is implementing competitive systems and practices and is pursuing quick changeover as one of its competitive operations tools. The unit can apply </w:t>
      </w:r>
      <w:r w:rsidRPr="00AF160B">
        <w:t>to quick changeovers of equipment, processes, batches or product type. It requires the application of skills associated with applying quick changeover procedures, including the planning and organising of own work, identifying problems and making suggestion</w:t>
      </w:r>
      <w:r w:rsidRPr="00AF160B">
        <w:t>s for improvement of procedures.</w:t>
      </w:r>
    </w:p>
    <w:p w:rsidR="00000000" w:rsidRPr="00AF160B" w:rsidP="001E2374">
      <w:pPr>
        <w:pStyle w:val="BodyText"/>
      </w:pPr>
      <w:r w:rsidRPr="00AF160B">
        <w:t>Particular technical skills may also be required in some operations sectors and for some jobs. These skills should be gained from the Training Package relevant to the individual’s industry and occupation.</w:t>
      </w:r>
    </w:p>
    <w:p w:rsidR="00000000" w:rsidRPr="00AF160B" w:rsidP="001E2374">
      <w:pPr>
        <w:pStyle w:val="BodyText"/>
      </w:pPr>
      <w:r w:rsidRPr="00AF160B">
        <w:t>This unit may no</w:t>
      </w:r>
      <w:r w:rsidRPr="00AF160B">
        <w:t>t be applicable to a totally continuous operation producing only the one product, or simultaneous range of products. The unit is also not applicable to a maintenance/PVI shutdown as experienced by continuous process manufacturers.</w:t>
      </w:r>
    </w:p>
    <w:p w:rsidR="00000000" w:rsidRPr="00AF160B" w:rsidP="001E2374">
      <w:pPr>
        <w:pStyle w:val="BodyText"/>
      </w:pPr>
      <w:r w:rsidRPr="00AF160B">
        <w:t>No licensing, legislativ</w:t>
      </w:r>
      <w:r w:rsidRPr="00AF160B">
        <w:t>e or certification requirements apply to this unit at the time of publication.</w:t>
      </w:r>
    </w:p>
    <w:p w:rsidR="00000000" w:rsidRPr="00AF160B" w:rsidP="00AF160B">
      <w:pPr>
        <w:pStyle w:val="Heading1"/>
      </w:pPr>
      <w:bookmarkStart w:id="3" w:name="O_919871"/>
      <w:bookmarkEnd w:id="3"/>
      <w:r w:rsidRPr="00AF160B">
        <w:t>Pre-requisite Unit</w:t>
      </w:r>
    </w:p>
    <w:p w:rsidR="00000000" w:rsidRPr="00AF160B" w:rsidP="001E2374">
      <w:pPr>
        <w:pStyle w:val="BodyText"/>
      </w:pPr>
      <w:r w:rsidRPr="00AF160B">
        <w:t>Nil</w:t>
      </w:r>
    </w:p>
    <w:p w:rsidR="00000000" w:rsidRPr="00AF160B" w:rsidP="00AF160B">
      <w:pPr>
        <w:pStyle w:val="Heading1"/>
      </w:pPr>
      <w:bookmarkStart w:id="4" w:name="O_919870"/>
      <w:bookmarkEnd w:id="4"/>
      <w:r w:rsidRPr="00AF160B">
        <w:t>Competency Field</w:t>
      </w:r>
    </w:p>
    <w:p w:rsidR="00000000" w:rsidRPr="00AF160B" w:rsidP="001E2374">
      <w:pPr>
        <w:pStyle w:val="BodyText"/>
      </w:pPr>
      <w:r w:rsidRPr="00AF160B">
        <w:t>Competitive systems and practices</w:t>
      </w:r>
    </w:p>
    <w:p w:rsidR="00000000" w:rsidRPr="00AF160B" w:rsidP="00AF160B">
      <w:pPr>
        <w:pStyle w:val="Heading1"/>
      </w:pPr>
      <w:bookmarkStart w:id="5" w:name="O_919869"/>
      <w:bookmarkEnd w:id="5"/>
      <w:r w:rsidRPr="00AF160B">
        <w:t>Unit Sector</w:t>
      </w:r>
    </w:p>
    <w:p w:rsidR="00000000" w:rsidRPr="00AF160B" w:rsidP="001E2374">
      <w:pPr>
        <w:pStyle w:val="BodyText"/>
      </w:pPr>
      <w:r w:rsidRPr="00AF160B">
        <w:t>Not applicable</w:t>
      </w:r>
    </w:p>
    <w:p w:rsidR="00000000" w:rsidRPr="00AF160B" w:rsidP="00AF160B">
      <w:pPr>
        <w:pStyle w:val="Heading1"/>
      </w:pPr>
      <w:bookmarkStart w:id="6" w:name="O_919868"/>
      <w:bookmarkEnd w:id="6"/>
      <w:r w:rsidRPr="00AF160B">
        <w:t>Elements</w:t>
      </w:r>
      <w:r w:rsidRPr="00AF160B">
        <w:t xml:space="preserve"> and Performance Criteria</w:t>
      </w:r>
    </w:p>
    <w:tbl>
      <w:tblPr>
        <w:tblW w:w="0" w:type="auto"/>
        <w:tblLayout w:type="fixed"/>
        <w:tblCellMar>
          <w:left w:w="62" w:type="dxa"/>
          <w:right w:w="62" w:type="dxa"/>
        </w:tblCellMar>
        <w:tblLook w:val="0000"/>
      </w:tblPr>
      <w:tblGrid>
        <w:gridCol w:w="678"/>
        <w:gridCol w:w="1962"/>
        <w:gridCol w:w="770"/>
        <w:gridCol w:w="5610"/>
      </w:tblGrid>
      <w:tr w:rsidTr="00AF160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F160B">
            <w:pPr>
              <w:pStyle w:val="BodyText"/>
              <w:rPr>
                <w:lang w:val="en-NZ"/>
              </w:rPr>
            </w:pPr>
            <w:r w:rsidRPr="00AF160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F160B">
            <w:pPr>
              <w:pStyle w:val="BodyText"/>
              <w:rPr>
                <w:lang w:val="en-NZ"/>
              </w:rPr>
            </w:pPr>
            <w:r w:rsidRPr="00AF160B">
              <w:t>Performance criteria describe the performance needed to demonstrate achievement of the element.</w:t>
            </w:r>
          </w:p>
        </w:tc>
      </w:tr>
      <w:tr w:rsidTr="00AF16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F160B" w:rsidP="00AF160B">
            <w:pPr>
              <w:pStyle w:val="BodyText"/>
            </w:pPr>
            <w:r w:rsidRPr="00AF160B">
              <w:t>1</w:t>
            </w:r>
          </w:p>
        </w:tc>
        <w:tc>
          <w:tcPr>
            <w:tcW w:w="1962" w:type="dxa"/>
            <w:vMerge w:val="restart"/>
            <w:tcBorders>
              <w:top w:val="nil"/>
              <w:left w:val="nil"/>
              <w:bottom w:val="nil"/>
              <w:right w:val="nil"/>
            </w:tcBorders>
            <w:tcMar>
              <w:top w:w="0" w:type="dxa"/>
              <w:left w:w="62" w:type="dxa"/>
              <w:bottom w:w="0" w:type="dxa"/>
              <w:right w:w="62" w:type="dxa"/>
            </w:tcMar>
          </w:tcPr>
          <w:p w:rsidR="00000000" w:rsidP="00AF160B">
            <w:pPr>
              <w:pStyle w:val="BodyText"/>
              <w:rPr>
                <w:lang w:val="en-NZ"/>
              </w:rPr>
            </w:pPr>
            <w:r w:rsidRPr="00AF160B">
              <w:rPr>
                <w:rStyle w:val="SpecialBold"/>
              </w:rPr>
              <w:t>Prepare for changeover</w:t>
            </w:r>
          </w:p>
        </w:tc>
        <w:tc>
          <w:tcPr>
            <w:tcW w:w="770" w:type="dxa"/>
            <w:tcBorders>
              <w:top w:val="nil"/>
              <w:left w:val="nil"/>
              <w:bottom w:val="nil"/>
              <w:right w:val="nil"/>
            </w:tcBorders>
            <w:tcMar>
              <w:top w:w="0" w:type="dxa"/>
              <w:left w:w="62" w:type="dxa"/>
              <w:bottom w:w="0" w:type="dxa"/>
              <w:right w:w="62" w:type="dxa"/>
            </w:tcMar>
          </w:tcPr>
          <w:p w:rsidR="00000000" w:rsidP="00AF160B">
            <w:pPr>
              <w:pStyle w:val="BodyText"/>
              <w:rPr>
                <w:lang w:val="en-NZ"/>
              </w:rPr>
            </w:pPr>
            <w:r w:rsidRPr="00AF160B">
              <w:t>1.1</w:t>
            </w:r>
          </w:p>
        </w:tc>
        <w:tc>
          <w:tcPr>
            <w:tcW w:w="5610" w:type="dxa"/>
            <w:tcBorders>
              <w:top w:val="nil"/>
              <w:left w:val="nil"/>
              <w:bottom w:val="nil"/>
              <w:right w:val="nil"/>
            </w:tcBorders>
            <w:tcMar>
              <w:top w:w="0" w:type="dxa"/>
              <w:left w:w="62" w:type="dxa"/>
              <w:bottom w:w="0" w:type="dxa"/>
              <w:right w:w="62" w:type="dxa"/>
            </w:tcMar>
          </w:tcPr>
          <w:p w:rsidR="00000000" w:rsidP="00AF160B">
            <w:pPr>
              <w:pStyle w:val="BodyText"/>
              <w:rPr>
                <w:lang w:val="en-NZ"/>
              </w:rPr>
            </w:pPr>
            <w:r w:rsidRPr="00AF160B">
              <w:t>Determine when changeover will be required.</w:t>
            </w:r>
          </w:p>
        </w:tc>
      </w:tr>
      <w:tr w:rsidTr="00AF16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160B">
            <w:pPr>
              <w:pStyle w:val="BodyText"/>
              <w:rPr>
                <w:lang w:val="en-NZ"/>
              </w:rPr>
            </w:pPr>
            <w:r w:rsidRPr="00AF160B">
              <w:t>1.2</w:t>
            </w:r>
          </w:p>
        </w:tc>
        <w:tc>
          <w:tcPr>
            <w:tcW w:w="5610" w:type="dxa"/>
            <w:tcBorders>
              <w:top w:val="nil"/>
              <w:left w:val="nil"/>
              <w:bottom w:val="nil"/>
              <w:right w:val="nil"/>
            </w:tcBorders>
            <w:tcMar>
              <w:top w:w="0" w:type="dxa"/>
              <w:left w:w="62" w:type="dxa"/>
              <w:bottom w:w="0" w:type="dxa"/>
              <w:right w:w="62" w:type="dxa"/>
            </w:tcMar>
          </w:tcPr>
          <w:p w:rsidR="00000000" w:rsidP="00AF160B">
            <w:pPr>
              <w:pStyle w:val="BodyText"/>
              <w:rPr>
                <w:lang w:val="en-NZ"/>
              </w:rPr>
            </w:pPr>
            <w:r w:rsidRPr="00AF160B">
              <w:t>Review plans and instructions for quick changeover.</w:t>
            </w:r>
          </w:p>
        </w:tc>
      </w:tr>
      <w:tr w:rsidTr="00AF16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160B">
            <w:pPr>
              <w:pStyle w:val="BodyText"/>
              <w:rPr>
                <w:lang w:val="en-NZ"/>
              </w:rPr>
            </w:pPr>
            <w:r w:rsidRPr="00AF160B">
              <w:t>1.3</w:t>
            </w:r>
          </w:p>
        </w:tc>
        <w:tc>
          <w:tcPr>
            <w:tcW w:w="5610" w:type="dxa"/>
            <w:tcBorders>
              <w:top w:val="nil"/>
              <w:left w:val="nil"/>
              <w:bottom w:val="nil"/>
              <w:right w:val="nil"/>
            </w:tcBorders>
            <w:tcMar>
              <w:top w:w="0" w:type="dxa"/>
              <w:left w:w="62" w:type="dxa"/>
              <w:bottom w:w="0" w:type="dxa"/>
              <w:right w:w="62" w:type="dxa"/>
            </w:tcMar>
          </w:tcPr>
          <w:p w:rsidR="00000000" w:rsidP="00AF160B">
            <w:pPr>
              <w:pStyle w:val="BodyText"/>
              <w:rPr>
                <w:lang w:val="en-NZ"/>
              </w:rPr>
            </w:pPr>
            <w:r w:rsidRPr="00AF160B">
              <w:t>Identify role of others in quick changeover.</w:t>
            </w:r>
          </w:p>
        </w:tc>
      </w:tr>
      <w:tr w:rsidTr="00AF16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160B">
            <w:pPr>
              <w:pStyle w:val="BodyText"/>
              <w:rPr>
                <w:lang w:val="en-NZ"/>
              </w:rPr>
            </w:pPr>
            <w:r w:rsidRPr="00AF160B">
              <w:t>1.4</w:t>
            </w:r>
          </w:p>
        </w:tc>
        <w:tc>
          <w:tcPr>
            <w:tcW w:w="5610" w:type="dxa"/>
            <w:tcBorders>
              <w:top w:val="nil"/>
              <w:left w:val="nil"/>
              <w:bottom w:val="nil"/>
              <w:right w:val="nil"/>
            </w:tcBorders>
            <w:tcMar>
              <w:top w:w="0" w:type="dxa"/>
              <w:left w:w="62" w:type="dxa"/>
              <w:bottom w:w="0" w:type="dxa"/>
              <w:right w:w="62" w:type="dxa"/>
            </w:tcMar>
          </w:tcPr>
          <w:p w:rsidR="00000000" w:rsidP="00AF160B">
            <w:pPr>
              <w:pStyle w:val="BodyText"/>
              <w:rPr>
                <w:lang w:val="en-NZ"/>
              </w:rPr>
            </w:pPr>
            <w:r w:rsidRPr="00AF160B">
              <w:t>Obtain all required tools/parts/materials for changeover.</w:t>
            </w:r>
          </w:p>
        </w:tc>
      </w:tr>
      <w:tr w:rsidTr="00AF16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160B">
            <w:pPr>
              <w:pStyle w:val="BodyText"/>
              <w:rPr>
                <w:lang w:val="en-NZ"/>
              </w:rPr>
            </w:pPr>
            <w:r w:rsidRPr="00AF160B">
              <w:t>1.5</w:t>
            </w:r>
          </w:p>
        </w:tc>
        <w:tc>
          <w:tcPr>
            <w:tcW w:w="5610" w:type="dxa"/>
            <w:tcBorders>
              <w:top w:val="nil"/>
              <w:left w:val="nil"/>
              <w:bottom w:val="nil"/>
              <w:right w:val="nil"/>
            </w:tcBorders>
            <w:tcMar>
              <w:top w:w="0" w:type="dxa"/>
              <w:left w:w="62" w:type="dxa"/>
              <w:bottom w:w="0" w:type="dxa"/>
              <w:right w:w="62" w:type="dxa"/>
            </w:tcMar>
          </w:tcPr>
          <w:p w:rsidR="00000000" w:rsidP="00AF160B">
            <w:pPr>
              <w:pStyle w:val="BodyText"/>
              <w:rPr>
                <w:lang w:val="en-NZ"/>
              </w:rPr>
            </w:pPr>
            <w:r w:rsidRPr="00AF160B">
              <w:t>Organise process and tools/parts/materials ready for changeover.</w:t>
            </w:r>
          </w:p>
        </w:tc>
      </w:tr>
      <w:tr w:rsidTr="00AF160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F160B">
            <w:pPr>
              <w:pStyle w:val="BodyText"/>
              <w:rPr>
                <w:lang w:val="en-NZ"/>
              </w:rPr>
            </w:pPr>
          </w:p>
        </w:tc>
      </w:tr>
      <w:tr w:rsidTr="00AF16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F160B" w:rsidP="00AF160B">
            <w:pPr>
              <w:pStyle w:val="BodyText"/>
            </w:pPr>
            <w:r w:rsidRPr="00AF160B">
              <w:t>2</w:t>
            </w:r>
          </w:p>
        </w:tc>
        <w:tc>
          <w:tcPr>
            <w:tcW w:w="1962" w:type="dxa"/>
            <w:vMerge w:val="restart"/>
            <w:tcBorders>
              <w:top w:val="nil"/>
              <w:left w:val="nil"/>
              <w:bottom w:val="nil"/>
              <w:right w:val="nil"/>
            </w:tcBorders>
            <w:tcMar>
              <w:top w:w="0" w:type="dxa"/>
              <w:left w:w="62" w:type="dxa"/>
              <w:bottom w:w="0" w:type="dxa"/>
              <w:right w:w="62" w:type="dxa"/>
            </w:tcMar>
          </w:tcPr>
          <w:p w:rsidR="00000000" w:rsidP="00AF160B">
            <w:pPr>
              <w:pStyle w:val="BodyText"/>
              <w:rPr>
                <w:lang w:val="en-NZ"/>
              </w:rPr>
            </w:pPr>
            <w:r w:rsidRPr="00AF160B">
              <w:rPr>
                <w:rStyle w:val="SpecialBold"/>
              </w:rPr>
              <w:t>Make quick changeover</w:t>
            </w:r>
          </w:p>
        </w:tc>
        <w:tc>
          <w:tcPr>
            <w:tcW w:w="770" w:type="dxa"/>
            <w:tcBorders>
              <w:top w:val="nil"/>
              <w:left w:val="nil"/>
              <w:bottom w:val="nil"/>
              <w:right w:val="nil"/>
            </w:tcBorders>
            <w:tcMar>
              <w:top w:w="0" w:type="dxa"/>
              <w:left w:w="62" w:type="dxa"/>
              <w:bottom w:w="0" w:type="dxa"/>
              <w:right w:w="62" w:type="dxa"/>
            </w:tcMar>
          </w:tcPr>
          <w:p w:rsidR="00000000" w:rsidP="00AF160B">
            <w:pPr>
              <w:pStyle w:val="BodyText"/>
              <w:rPr>
                <w:lang w:val="en-NZ"/>
              </w:rPr>
            </w:pPr>
            <w:r w:rsidRPr="00AF160B">
              <w:t>2.1</w:t>
            </w:r>
          </w:p>
        </w:tc>
        <w:tc>
          <w:tcPr>
            <w:tcW w:w="5610" w:type="dxa"/>
            <w:tcBorders>
              <w:top w:val="nil"/>
              <w:left w:val="nil"/>
              <w:bottom w:val="nil"/>
              <w:right w:val="nil"/>
            </w:tcBorders>
            <w:tcMar>
              <w:top w:w="0" w:type="dxa"/>
              <w:left w:w="62" w:type="dxa"/>
              <w:bottom w:w="0" w:type="dxa"/>
              <w:right w:w="62" w:type="dxa"/>
            </w:tcMar>
          </w:tcPr>
          <w:p w:rsidR="00000000" w:rsidP="00AF160B">
            <w:pPr>
              <w:pStyle w:val="BodyText"/>
              <w:rPr>
                <w:lang w:val="en-NZ"/>
              </w:rPr>
            </w:pPr>
            <w:r w:rsidRPr="00AF160B">
              <w:t>Plan changeover according to quick changeover principles.</w:t>
            </w:r>
          </w:p>
        </w:tc>
      </w:tr>
      <w:tr w:rsidTr="00AF16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160B">
            <w:pPr>
              <w:pStyle w:val="BodyText"/>
              <w:rPr>
                <w:lang w:val="en-NZ"/>
              </w:rPr>
            </w:pPr>
            <w:r w:rsidRPr="00AF160B">
              <w:t>2.2</w:t>
            </w:r>
          </w:p>
        </w:tc>
        <w:tc>
          <w:tcPr>
            <w:tcW w:w="5610" w:type="dxa"/>
            <w:tcBorders>
              <w:top w:val="nil"/>
              <w:left w:val="nil"/>
              <w:bottom w:val="nil"/>
              <w:right w:val="nil"/>
            </w:tcBorders>
            <w:tcMar>
              <w:top w:w="0" w:type="dxa"/>
              <w:left w:w="62" w:type="dxa"/>
              <w:bottom w:w="0" w:type="dxa"/>
              <w:right w:w="62" w:type="dxa"/>
            </w:tcMar>
          </w:tcPr>
          <w:p w:rsidR="00000000" w:rsidP="00AF160B">
            <w:pPr>
              <w:pStyle w:val="BodyText"/>
              <w:rPr>
                <w:lang w:val="en-NZ"/>
              </w:rPr>
            </w:pPr>
            <w:r w:rsidRPr="00AF160B">
              <w:t>Liaise and work with relevant people in quick changeover.</w:t>
            </w:r>
          </w:p>
        </w:tc>
      </w:tr>
      <w:tr w:rsidTr="00AF16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160B">
            <w:pPr>
              <w:pStyle w:val="BodyText"/>
              <w:rPr>
                <w:lang w:val="en-NZ"/>
              </w:rPr>
            </w:pPr>
            <w:r w:rsidRPr="00AF160B">
              <w:t>2.3</w:t>
            </w:r>
          </w:p>
        </w:tc>
        <w:tc>
          <w:tcPr>
            <w:tcW w:w="5610" w:type="dxa"/>
            <w:tcBorders>
              <w:top w:val="nil"/>
              <w:left w:val="nil"/>
              <w:bottom w:val="nil"/>
              <w:right w:val="nil"/>
            </w:tcBorders>
            <w:tcMar>
              <w:top w:w="0" w:type="dxa"/>
              <w:left w:w="62" w:type="dxa"/>
              <w:bottom w:w="0" w:type="dxa"/>
              <w:right w:w="62" w:type="dxa"/>
            </w:tcMar>
          </w:tcPr>
          <w:p w:rsidR="00000000" w:rsidP="00AF160B">
            <w:pPr>
              <w:pStyle w:val="BodyText"/>
              <w:rPr>
                <w:lang w:val="en-NZ"/>
              </w:rPr>
            </w:pPr>
            <w:r w:rsidRPr="00AF160B">
              <w:t>Complete changeover according to procedures.</w:t>
            </w:r>
          </w:p>
        </w:tc>
      </w:tr>
      <w:tr w:rsidTr="00AF16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160B">
            <w:pPr>
              <w:pStyle w:val="BodyText"/>
              <w:rPr>
                <w:lang w:val="en-NZ"/>
              </w:rPr>
            </w:pPr>
            <w:r w:rsidRPr="00AF160B">
              <w:t>2.4</w:t>
            </w:r>
          </w:p>
        </w:tc>
        <w:tc>
          <w:tcPr>
            <w:tcW w:w="5610" w:type="dxa"/>
            <w:tcBorders>
              <w:top w:val="nil"/>
              <w:left w:val="nil"/>
              <w:bottom w:val="nil"/>
              <w:right w:val="nil"/>
            </w:tcBorders>
            <w:tcMar>
              <w:top w:w="0" w:type="dxa"/>
              <w:left w:w="62" w:type="dxa"/>
              <w:bottom w:w="0" w:type="dxa"/>
              <w:right w:w="62" w:type="dxa"/>
            </w:tcMar>
          </w:tcPr>
          <w:p w:rsidR="00000000" w:rsidP="00AF160B">
            <w:pPr>
              <w:pStyle w:val="BodyText"/>
              <w:rPr>
                <w:lang w:val="en-NZ"/>
              </w:rPr>
            </w:pPr>
            <w:r w:rsidRPr="00AF160B">
              <w:t>Check output meets specification.</w:t>
            </w:r>
          </w:p>
        </w:tc>
      </w:tr>
      <w:tr w:rsidTr="00AF16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160B">
            <w:pPr>
              <w:pStyle w:val="BodyText"/>
              <w:rPr>
                <w:lang w:val="en-NZ"/>
              </w:rPr>
            </w:pPr>
            <w:r w:rsidRPr="00AF160B">
              <w:t>2.5</w:t>
            </w:r>
          </w:p>
        </w:tc>
        <w:tc>
          <w:tcPr>
            <w:tcW w:w="5610" w:type="dxa"/>
            <w:tcBorders>
              <w:top w:val="nil"/>
              <w:left w:val="nil"/>
              <w:bottom w:val="nil"/>
              <w:right w:val="nil"/>
            </w:tcBorders>
            <w:tcMar>
              <w:top w:w="0" w:type="dxa"/>
              <w:left w:w="62" w:type="dxa"/>
              <w:bottom w:w="0" w:type="dxa"/>
              <w:right w:w="62" w:type="dxa"/>
            </w:tcMar>
          </w:tcPr>
          <w:p w:rsidR="00000000" w:rsidP="00AF160B">
            <w:pPr>
              <w:pStyle w:val="BodyText"/>
              <w:rPr>
                <w:lang w:val="en-NZ"/>
              </w:rPr>
            </w:pPr>
            <w:r w:rsidRPr="00AF160B">
              <w:t>Debrief with all relevant stakeholders.</w:t>
            </w:r>
          </w:p>
        </w:tc>
      </w:tr>
      <w:tr w:rsidTr="00AF16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160B">
            <w:pPr>
              <w:pStyle w:val="BodyText"/>
              <w:rPr>
                <w:lang w:val="en-NZ"/>
              </w:rPr>
            </w:pPr>
            <w:r w:rsidRPr="00AF160B">
              <w:t>2.6</w:t>
            </w:r>
          </w:p>
        </w:tc>
        <w:tc>
          <w:tcPr>
            <w:tcW w:w="5610" w:type="dxa"/>
            <w:tcBorders>
              <w:top w:val="nil"/>
              <w:left w:val="nil"/>
              <w:bottom w:val="nil"/>
              <w:right w:val="nil"/>
            </w:tcBorders>
            <w:tcMar>
              <w:top w:w="0" w:type="dxa"/>
              <w:left w:w="62" w:type="dxa"/>
              <w:bottom w:w="0" w:type="dxa"/>
              <w:right w:w="62" w:type="dxa"/>
            </w:tcMar>
          </w:tcPr>
          <w:p w:rsidR="00000000" w:rsidP="00AF160B">
            <w:pPr>
              <w:pStyle w:val="BodyText"/>
              <w:rPr>
                <w:lang w:val="en-NZ"/>
              </w:rPr>
            </w:pPr>
            <w:r w:rsidRPr="00AF160B">
              <w:t>Note any steps which cause a problem.</w:t>
            </w:r>
          </w:p>
        </w:tc>
      </w:tr>
      <w:tr w:rsidTr="00AF16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160B">
            <w:pPr>
              <w:pStyle w:val="BodyText"/>
              <w:rPr>
                <w:lang w:val="en-NZ"/>
              </w:rPr>
            </w:pPr>
            <w:r w:rsidRPr="00AF160B">
              <w:t>2.7</w:t>
            </w:r>
          </w:p>
        </w:tc>
        <w:tc>
          <w:tcPr>
            <w:tcW w:w="5610" w:type="dxa"/>
            <w:tcBorders>
              <w:top w:val="nil"/>
              <w:left w:val="nil"/>
              <w:bottom w:val="nil"/>
              <w:right w:val="nil"/>
            </w:tcBorders>
            <w:tcMar>
              <w:top w:w="0" w:type="dxa"/>
              <w:left w:w="62" w:type="dxa"/>
              <w:bottom w:w="0" w:type="dxa"/>
              <w:right w:w="62" w:type="dxa"/>
            </w:tcMar>
          </w:tcPr>
          <w:p w:rsidR="00000000" w:rsidP="00AF160B">
            <w:pPr>
              <w:pStyle w:val="BodyText"/>
              <w:rPr>
                <w:lang w:val="en-NZ"/>
              </w:rPr>
            </w:pPr>
            <w:r w:rsidRPr="00AF160B">
              <w:t>Recommend changes to problematic steps.</w:t>
            </w:r>
          </w:p>
        </w:tc>
      </w:tr>
      <w:tr w:rsidTr="00AF160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F160B">
            <w:pPr>
              <w:pStyle w:val="BodyText"/>
              <w:rPr>
                <w:lang w:val="en-NZ"/>
              </w:rPr>
            </w:pPr>
          </w:p>
        </w:tc>
      </w:tr>
      <w:tr w:rsidTr="00AF16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F160B" w:rsidP="00AF160B">
            <w:pPr>
              <w:pStyle w:val="BodyText"/>
            </w:pPr>
            <w:r w:rsidRPr="00AF160B">
              <w:t>3</w:t>
            </w:r>
          </w:p>
        </w:tc>
        <w:tc>
          <w:tcPr>
            <w:tcW w:w="1962" w:type="dxa"/>
            <w:vMerge w:val="restart"/>
            <w:tcBorders>
              <w:top w:val="nil"/>
              <w:left w:val="nil"/>
              <w:bottom w:val="nil"/>
              <w:right w:val="nil"/>
            </w:tcBorders>
            <w:tcMar>
              <w:top w:w="0" w:type="dxa"/>
              <w:left w:w="62" w:type="dxa"/>
              <w:bottom w:w="0" w:type="dxa"/>
              <w:right w:w="62" w:type="dxa"/>
            </w:tcMar>
          </w:tcPr>
          <w:p w:rsidR="00000000" w:rsidP="00AF160B">
            <w:pPr>
              <w:pStyle w:val="BodyText"/>
              <w:rPr>
                <w:lang w:val="en-NZ"/>
              </w:rPr>
            </w:pPr>
            <w:r w:rsidRPr="00AF160B">
              <w:rPr>
                <w:rStyle w:val="SpecialBold"/>
              </w:rPr>
              <w:t>Improve work health and safety (WHS)</w:t>
            </w:r>
          </w:p>
        </w:tc>
        <w:tc>
          <w:tcPr>
            <w:tcW w:w="770" w:type="dxa"/>
            <w:tcBorders>
              <w:top w:val="nil"/>
              <w:left w:val="nil"/>
              <w:bottom w:val="nil"/>
              <w:right w:val="nil"/>
            </w:tcBorders>
            <w:tcMar>
              <w:top w:w="0" w:type="dxa"/>
              <w:left w:w="62" w:type="dxa"/>
              <w:bottom w:w="0" w:type="dxa"/>
              <w:right w:w="62" w:type="dxa"/>
            </w:tcMar>
          </w:tcPr>
          <w:p w:rsidR="00000000" w:rsidP="00AF160B">
            <w:pPr>
              <w:pStyle w:val="BodyText"/>
              <w:rPr>
                <w:lang w:val="en-NZ"/>
              </w:rPr>
            </w:pPr>
            <w:r w:rsidRPr="00AF160B">
              <w:t>3.1</w:t>
            </w:r>
          </w:p>
        </w:tc>
        <w:tc>
          <w:tcPr>
            <w:tcW w:w="5610" w:type="dxa"/>
            <w:tcBorders>
              <w:top w:val="nil"/>
              <w:left w:val="nil"/>
              <w:bottom w:val="nil"/>
              <w:right w:val="nil"/>
            </w:tcBorders>
            <w:tcMar>
              <w:top w:w="0" w:type="dxa"/>
              <w:left w:w="62" w:type="dxa"/>
              <w:bottom w:w="0" w:type="dxa"/>
              <w:right w:w="62" w:type="dxa"/>
            </w:tcMar>
          </w:tcPr>
          <w:p w:rsidR="00000000" w:rsidP="00AF160B">
            <w:pPr>
              <w:pStyle w:val="BodyText"/>
              <w:rPr>
                <w:lang w:val="en-NZ"/>
              </w:rPr>
            </w:pPr>
            <w:r w:rsidRPr="00AF160B">
              <w:t>Identify hazards to self or others in all steps/actions.</w:t>
            </w:r>
          </w:p>
        </w:tc>
      </w:tr>
      <w:tr w:rsidTr="00AF16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160B">
            <w:pPr>
              <w:pStyle w:val="BodyText"/>
              <w:rPr>
                <w:lang w:val="en-NZ"/>
              </w:rPr>
            </w:pPr>
            <w:r w:rsidRPr="00AF160B">
              <w:t>3.2</w:t>
            </w:r>
          </w:p>
        </w:tc>
        <w:tc>
          <w:tcPr>
            <w:tcW w:w="5610" w:type="dxa"/>
            <w:tcBorders>
              <w:top w:val="nil"/>
              <w:left w:val="nil"/>
              <w:bottom w:val="nil"/>
              <w:right w:val="nil"/>
            </w:tcBorders>
            <w:tcMar>
              <w:top w:w="0" w:type="dxa"/>
              <w:left w:w="62" w:type="dxa"/>
              <w:bottom w:w="0" w:type="dxa"/>
              <w:right w:w="62" w:type="dxa"/>
            </w:tcMar>
          </w:tcPr>
          <w:p w:rsidR="00000000" w:rsidP="00AF160B">
            <w:pPr>
              <w:pStyle w:val="BodyText"/>
              <w:rPr>
                <w:lang w:val="en-NZ"/>
              </w:rPr>
            </w:pPr>
            <w:r w:rsidRPr="00AF160B">
              <w:t>Determine risks from each hazard.</w:t>
            </w:r>
          </w:p>
        </w:tc>
      </w:tr>
      <w:tr w:rsidTr="00AF16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160B">
            <w:pPr>
              <w:pStyle w:val="BodyText"/>
              <w:rPr>
                <w:lang w:val="en-NZ"/>
              </w:rPr>
            </w:pPr>
            <w:r w:rsidRPr="00AF160B">
              <w:t>3.3</w:t>
            </w:r>
          </w:p>
        </w:tc>
        <w:tc>
          <w:tcPr>
            <w:tcW w:w="5610" w:type="dxa"/>
            <w:tcBorders>
              <w:top w:val="nil"/>
              <w:left w:val="nil"/>
              <w:bottom w:val="nil"/>
              <w:right w:val="nil"/>
            </w:tcBorders>
            <w:tcMar>
              <w:top w:w="0" w:type="dxa"/>
              <w:left w:w="62" w:type="dxa"/>
              <w:bottom w:w="0" w:type="dxa"/>
              <w:right w:w="62" w:type="dxa"/>
            </w:tcMar>
          </w:tcPr>
          <w:p w:rsidR="00000000" w:rsidP="00AF160B">
            <w:pPr>
              <w:pStyle w:val="BodyText"/>
              <w:rPr>
                <w:lang w:val="en-NZ"/>
              </w:rPr>
            </w:pPr>
            <w:r w:rsidRPr="00AF160B">
              <w:t>Identify actions which may be performed in a more ergonomic manner.</w:t>
            </w:r>
          </w:p>
        </w:tc>
      </w:tr>
      <w:tr w:rsidTr="00AF16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160B">
            <w:pPr>
              <w:pStyle w:val="BodyText"/>
              <w:rPr>
                <w:lang w:val="en-NZ"/>
              </w:rPr>
            </w:pPr>
            <w:r w:rsidRPr="00AF160B">
              <w:t>3.4</w:t>
            </w:r>
          </w:p>
        </w:tc>
        <w:tc>
          <w:tcPr>
            <w:tcW w:w="5610" w:type="dxa"/>
            <w:tcBorders>
              <w:top w:val="nil"/>
              <w:left w:val="nil"/>
              <w:bottom w:val="nil"/>
              <w:right w:val="nil"/>
            </w:tcBorders>
            <w:tcMar>
              <w:top w:w="0" w:type="dxa"/>
              <w:left w:w="62" w:type="dxa"/>
              <w:bottom w:w="0" w:type="dxa"/>
              <w:right w:w="62" w:type="dxa"/>
            </w:tcMar>
          </w:tcPr>
          <w:p w:rsidR="00000000" w:rsidRPr="00AF160B" w:rsidP="00AF160B">
            <w:pPr>
              <w:pStyle w:val="BodyText"/>
            </w:pPr>
            <w:r w:rsidRPr="00AF160B">
              <w:t>Recommend changes to improve WHS.</w:t>
            </w:r>
          </w:p>
        </w:tc>
      </w:tr>
    </w:tbl>
    <w:p w:rsidR="00000000" w:rsidRPr="00AF160B" w:rsidP="00AF160B">
      <w:pPr>
        <w:pStyle w:val="BodyText"/>
      </w:pPr>
    </w:p>
    <w:p w:rsidR="00000000" w:rsidRPr="00AF160B" w:rsidP="00AF160B">
      <w:pPr>
        <w:pStyle w:val="AllowPageBreak"/>
      </w:pPr>
    </w:p>
    <w:p w:rsidR="00000000" w:rsidRPr="00AF160B" w:rsidP="00AF160B">
      <w:pPr>
        <w:pStyle w:val="Heading1"/>
      </w:pPr>
      <w:bookmarkStart w:id="7" w:name="O_919867"/>
      <w:bookmarkEnd w:id="7"/>
      <w:r w:rsidRPr="00AF160B">
        <w:t>Foundation Skills</w:t>
      </w:r>
    </w:p>
    <w:p w:rsidR="00000000" w:rsidRPr="00AF160B" w:rsidP="001E2374">
      <w:pPr>
        <w:pStyle w:val="BodyText"/>
      </w:pPr>
      <w:r w:rsidRPr="00AF160B">
        <w:t>This section describes those required skills (language, literacy and numeracy) that are essential to performance.</w:t>
      </w:r>
    </w:p>
    <w:p w:rsidR="00000000" w:rsidRPr="00AF160B" w:rsidP="001E2374">
      <w:pPr>
        <w:pStyle w:val="BodyText"/>
      </w:pPr>
      <w:r w:rsidRPr="00AF160B">
        <w:t>Foundation skills essential to performance are explicit in the performance criteria of this unit of competency.</w:t>
      </w:r>
    </w:p>
    <w:p w:rsidR="00000000" w:rsidRPr="00AF160B" w:rsidP="00AF160B">
      <w:pPr>
        <w:pStyle w:val="Heading1"/>
      </w:pPr>
      <w:bookmarkStart w:id="8" w:name="O_919866"/>
      <w:bookmarkEnd w:id="8"/>
      <w:r w:rsidRPr="00AF160B">
        <w:t>Range of Con</w:t>
      </w:r>
      <w:r w:rsidRPr="00AF160B">
        <w:t>ditions</w:t>
      </w:r>
    </w:p>
    <w:tbl>
      <w:tblPr>
        <w:tblW w:w="0" w:type="auto"/>
        <w:tblLayout w:type="fixed"/>
        <w:tblCellMar>
          <w:left w:w="62" w:type="dxa"/>
          <w:right w:w="62" w:type="dxa"/>
        </w:tblCellMar>
        <w:tblLook w:val="0000"/>
      </w:tblPr>
      <w:tblGrid>
        <w:gridCol w:w="2224"/>
        <w:gridCol w:w="6848"/>
      </w:tblGrid>
      <w:tr w:rsidTr="00AF160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F160B">
            <w:pPr>
              <w:pStyle w:val="BodyText"/>
              <w:rPr>
                <w:lang w:val="en-NZ"/>
              </w:rPr>
            </w:pPr>
            <w:r w:rsidRPr="00AF160B">
              <w:t>This field allows for different work environments and conditions that may affect performance. Essential operating conditions that may be present (depending on the work situation, needs of the candidate, accessibility of the item, and local industry</w:t>
            </w:r>
            <w:r w:rsidRPr="00AF160B">
              <w:t xml:space="preserve"> and regional contexts) are included.</w:t>
            </w:r>
          </w:p>
        </w:tc>
      </w:tr>
      <w:tr w:rsidTr="00AF160B">
        <w:tblPrEx>
          <w:tblW w:w="0" w:type="auto"/>
          <w:tblLayout w:type="fixed"/>
          <w:tblCellMar>
            <w:left w:w="62" w:type="dxa"/>
            <w:right w:w="62" w:type="dxa"/>
          </w:tblCellMar>
          <w:tblLook w:val="0000"/>
        </w:tblPrEx>
        <w:tc>
          <w:tcPr>
            <w:tcW w:w="2224" w:type="dxa"/>
            <w:tcBorders>
              <w:top w:val="nil"/>
              <w:left w:val="nil"/>
              <w:bottom w:val="nil"/>
              <w:right w:val="nil"/>
            </w:tcBorders>
            <w:tcMar>
              <w:top w:w="0" w:type="dxa"/>
              <w:left w:w="62" w:type="dxa"/>
              <w:bottom w:w="0" w:type="dxa"/>
              <w:right w:w="62" w:type="dxa"/>
            </w:tcMar>
          </w:tcPr>
          <w:p w:rsidR="00000000" w:rsidP="00AF160B">
            <w:pPr>
              <w:pStyle w:val="BodyText"/>
              <w:rPr>
                <w:lang w:val="en-NZ"/>
              </w:rPr>
            </w:pPr>
            <w:r w:rsidRPr="00AF160B">
              <w:rPr>
                <w:rStyle w:val="SpecialBold"/>
              </w:rPr>
              <w:t>Competitive systems and practices include one or more of:</w:t>
            </w:r>
          </w:p>
        </w:tc>
        <w:tc>
          <w:tcPr>
            <w:tcW w:w="6848" w:type="dxa"/>
            <w:tcBorders>
              <w:top w:val="nil"/>
              <w:left w:val="nil"/>
              <w:bottom w:val="nil"/>
              <w:right w:val="nil"/>
            </w:tcBorders>
            <w:tcMar>
              <w:top w:w="0" w:type="dxa"/>
              <w:left w:w="62" w:type="dxa"/>
              <w:bottom w:w="0" w:type="dxa"/>
              <w:right w:w="62" w:type="dxa"/>
            </w:tcMar>
          </w:tcPr>
          <w:p w:rsidR="00000000" w:rsidRPr="00AF160B" w:rsidP="00AF160B">
            <w:pPr>
              <w:pStyle w:val="ListBullet"/>
            </w:pPr>
            <w:r w:rsidRPr="00AF160B">
              <w:t>lean operations</w:t>
            </w:r>
          </w:p>
          <w:p w:rsidR="00000000" w:rsidRPr="00AF160B" w:rsidP="00AF160B">
            <w:pPr>
              <w:pStyle w:val="ListBullet"/>
            </w:pPr>
            <w:r w:rsidRPr="00AF160B">
              <w:t>agile operations</w:t>
            </w:r>
          </w:p>
          <w:p w:rsidR="00000000" w:rsidRPr="00AF160B" w:rsidP="00AF160B">
            <w:pPr>
              <w:pStyle w:val="ListBullet"/>
            </w:pPr>
            <w:r w:rsidRPr="00AF160B">
              <w:t>preventative and predictive maintenance approaches</w:t>
            </w:r>
          </w:p>
          <w:p w:rsidR="00000000" w:rsidRPr="00AF160B" w:rsidP="00AF160B">
            <w:pPr>
              <w:pStyle w:val="ListBullet"/>
            </w:pPr>
            <w:r w:rsidRPr="00AF160B">
              <w:t xml:space="preserve">monitoring and data gathering systems, such as Systems Control and Data Acquisition (SCADA) software, Enterprise Resource Planning (ERP) systems, Materials Resource Planning (MRP) and proprietary systems </w:t>
            </w:r>
          </w:p>
          <w:p w:rsidR="00000000" w:rsidRPr="00AF160B" w:rsidP="00AF160B">
            <w:pPr>
              <w:pStyle w:val="ListBullet"/>
            </w:pPr>
            <w:r w:rsidRPr="00AF160B">
              <w:t xml:space="preserve">statistical process control systems, including six </w:t>
            </w:r>
            <w:r w:rsidRPr="00AF160B">
              <w:t>sigma and three sigma</w:t>
            </w:r>
          </w:p>
          <w:p w:rsidR="00000000" w:rsidRPr="00AF160B" w:rsidP="00AF160B">
            <w:pPr>
              <w:pStyle w:val="ListBullet"/>
            </w:pPr>
            <w:r w:rsidRPr="00AF160B">
              <w:t>Just in Time (JIT), kanban and other pull-related operations control systems</w:t>
            </w:r>
          </w:p>
          <w:p w:rsidR="00000000" w:rsidRPr="00AF160B" w:rsidP="00AF160B">
            <w:pPr>
              <w:pStyle w:val="ListBullet"/>
            </w:pPr>
            <w:r w:rsidRPr="00AF160B">
              <w:t>supply, value, and demand chain monitoring and analysis</w:t>
            </w:r>
          </w:p>
          <w:p w:rsidR="00000000" w:rsidRPr="00AF160B" w:rsidP="00AF160B">
            <w:pPr>
              <w:pStyle w:val="ListBullet"/>
            </w:pPr>
            <w:r w:rsidRPr="00AF160B">
              <w:t xml:space="preserve">5S </w:t>
            </w:r>
          </w:p>
          <w:p w:rsidR="00000000" w:rsidRPr="00AF160B" w:rsidP="00AF160B">
            <w:pPr>
              <w:pStyle w:val="ListBullet"/>
            </w:pPr>
            <w:r w:rsidRPr="00AF160B">
              <w:t>continuous improvement (kaizen)</w:t>
            </w:r>
          </w:p>
          <w:p w:rsidR="00000000" w:rsidRPr="00AF160B" w:rsidP="00AF160B">
            <w:pPr>
              <w:pStyle w:val="ListBullet"/>
            </w:pPr>
            <w:r w:rsidRPr="00AF160B">
              <w:t>breakthrough improvement (kaizen blitz)</w:t>
            </w:r>
          </w:p>
          <w:p w:rsidR="00000000" w:rsidRPr="00AF160B" w:rsidP="00AF160B">
            <w:pPr>
              <w:pStyle w:val="ListBullet"/>
            </w:pPr>
            <w:r w:rsidRPr="00AF160B">
              <w:t>cause/effect diagrams</w:t>
            </w:r>
          </w:p>
          <w:p w:rsidR="00000000" w:rsidRPr="00AF160B" w:rsidP="00AF160B">
            <w:pPr>
              <w:pStyle w:val="ListBullet"/>
            </w:pPr>
            <w:r w:rsidRPr="00AF160B">
              <w:t>ove</w:t>
            </w:r>
            <w:r w:rsidRPr="00AF160B">
              <w:t>rall equipment effectiveness (OEE)</w:t>
            </w:r>
          </w:p>
          <w:p w:rsidR="00000000" w:rsidRPr="00AF160B" w:rsidP="00AF160B">
            <w:pPr>
              <w:pStyle w:val="ListBullet"/>
            </w:pPr>
            <w:r w:rsidRPr="00AF160B">
              <w:t>takt time</w:t>
            </w:r>
          </w:p>
          <w:p w:rsidR="00000000" w:rsidRPr="00AF160B" w:rsidP="00AF160B">
            <w:pPr>
              <w:pStyle w:val="ListBullet"/>
            </w:pPr>
            <w:r w:rsidRPr="00AF160B">
              <w:t>process mapping</w:t>
            </w:r>
          </w:p>
          <w:p w:rsidR="00000000" w:rsidRPr="00AF160B" w:rsidP="00AF160B">
            <w:pPr>
              <w:pStyle w:val="ListBullet"/>
            </w:pPr>
            <w:r w:rsidRPr="00AF160B">
              <w:t xml:space="preserve">problem solving </w:t>
            </w:r>
          </w:p>
          <w:p w:rsidR="00000000" w:rsidRPr="00AF160B" w:rsidP="00AF160B">
            <w:pPr>
              <w:pStyle w:val="ListBullet"/>
            </w:pPr>
            <w:r w:rsidRPr="00AF160B">
              <w:t>run charts</w:t>
            </w:r>
          </w:p>
          <w:p w:rsidR="00000000" w:rsidRPr="00AF160B" w:rsidP="00AF160B">
            <w:pPr>
              <w:pStyle w:val="ListBullet"/>
            </w:pPr>
            <w:r w:rsidRPr="00AF160B">
              <w:t>standard procedures</w:t>
            </w:r>
          </w:p>
          <w:p w:rsidR="00000000" w:rsidRPr="00AF160B" w:rsidP="00AF160B">
            <w:pPr>
              <w:pStyle w:val="ListBullet"/>
            </w:pPr>
            <w:r w:rsidRPr="00AF160B">
              <w:t>current reality tree.</w:t>
            </w:r>
          </w:p>
          <w:p w:rsidR="00000000" w:rsidP="00AF160B">
            <w:pPr>
              <w:pStyle w:val="BodyText"/>
              <w:rPr>
                <w:lang w:val="en-NZ"/>
              </w:rPr>
            </w:pPr>
          </w:p>
        </w:tc>
      </w:tr>
      <w:tr w:rsidTr="00AF160B">
        <w:tblPrEx>
          <w:tblW w:w="0" w:type="auto"/>
          <w:tblLayout w:type="fixed"/>
          <w:tblCellMar>
            <w:left w:w="62" w:type="dxa"/>
            <w:right w:w="62" w:type="dxa"/>
          </w:tblCellMar>
          <w:tblLook w:val="0000"/>
        </w:tblPrEx>
        <w:tc>
          <w:tcPr>
            <w:tcW w:w="2224" w:type="dxa"/>
            <w:tcBorders>
              <w:top w:val="nil"/>
              <w:left w:val="nil"/>
              <w:bottom w:val="nil"/>
              <w:right w:val="nil"/>
            </w:tcBorders>
            <w:tcMar>
              <w:top w:w="0" w:type="dxa"/>
              <w:left w:w="62" w:type="dxa"/>
              <w:bottom w:w="0" w:type="dxa"/>
              <w:right w:w="62" w:type="dxa"/>
            </w:tcMar>
          </w:tcPr>
          <w:p w:rsidR="00000000" w:rsidP="00AF160B">
            <w:pPr>
              <w:pStyle w:val="BodyText"/>
              <w:rPr>
                <w:lang w:val="en-NZ"/>
              </w:rPr>
            </w:pPr>
            <w:r w:rsidRPr="00AF160B">
              <w:rPr>
                <w:rStyle w:val="SpecialBold"/>
              </w:rPr>
              <w:t>Changeover may include one or more of:</w:t>
            </w:r>
          </w:p>
        </w:tc>
        <w:tc>
          <w:tcPr>
            <w:tcW w:w="6848" w:type="dxa"/>
            <w:tcBorders>
              <w:top w:val="nil"/>
              <w:left w:val="nil"/>
              <w:bottom w:val="nil"/>
              <w:right w:val="nil"/>
            </w:tcBorders>
            <w:tcMar>
              <w:top w:w="0" w:type="dxa"/>
              <w:left w:w="62" w:type="dxa"/>
              <w:bottom w:w="0" w:type="dxa"/>
              <w:right w:w="62" w:type="dxa"/>
            </w:tcMar>
          </w:tcPr>
          <w:p w:rsidR="00000000" w:rsidRPr="00AF160B" w:rsidP="00AF160B">
            <w:pPr>
              <w:pStyle w:val="ListBullet"/>
            </w:pPr>
            <w:r w:rsidRPr="00AF160B">
              <w:t>an exchange of equipment (often dies or tools (traditional))</w:t>
            </w:r>
          </w:p>
          <w:p w:rsidR="00000000" w:rsidRPr="00AF160B" w:rsidP="00AF160B">
            <w:pPr>
              <w:pStyle w:val="ListBullet"/>
            </w:pPr>
            <w:r w:rsidRPr="00AF160B">
              <w:t>a change between products/batches or between campaigns or processes. It may be any quantum change to produce a different product or undertake a different process.</w:t>
            </w:r>
          </w:p>
          <w:p w:rsidR="00000000" w:rsidP="00AF160B">
            <w:pPr>
              <w:pStyle w:val="BodyText"/>
              <w:rPr>
                <w:lang w:val="en-NZ"/>
              </w:rPr>
            </w:pPr>
          </w:p>
        </w:tc>
      </w:tr>
      <w:tr w:rsidTr="00AF160B">
        <w:tblPrEx>
          <w:tblW w:w="0" w:type="auto"/>
          <w:tblLayout w:type="fixed"/>
          <w:tblCellMar>
            <w:left w:w="62" w:type="dxa"/>
            <w:right w:w="62" w:type="dxa"/>
          </w:tblCellMar>
          <w:tblLook w:val="0000"/>
        </w:tblPrEx>
        <w:tc>
          <w:tcPr>
            <w:tcW w:w="2224" w:type="dxa"/>
            <w:tcBorders>
              <w:top w:val="nil"/>
              <w:left w:val="nil"/>
              <w:bottom w:val="nil"/>
              <w:right w:val="nil"/>
            </w:tcBorders>
            <w:tcMar>
              <w:top w:w="0" w:type="dxa"/>
              <w:left w:w="62" w:type="dxa"/>
              <w:bottom w:w="0" w:type="dxa"/>
              <w:right w:w="62" w:type="dxa"/>
            </w:tcMar>
          </w:tcPr>
          <w:p w:rsidR="00000000" w:rsidP="00AF160B">
            <w:pPr>
              <w:pStyle w:val="BodyText"/>
              <w:rPr>
                <w:lang w:val="en-NZ"/>
              </w:rPr>
            </w:pPr>
            <w:r w:rsidRPr="00AF160B">
              <w:rPr>
                <w:rStyle w:val="SpecialBold"/>
              </w:rPr>
              <w:t>Set-up can be divided into two types:</w:t>
            </w:r>
          </w:p>
        </w:tc>
        <w:tc>
          <w:tcPr>
            <w:tcW w:w="6848" w:type="dxa"/>
            <w:tcBorders>
              <w:top w:val="nil"/>
              <w:left w:val="nil"/>
              <w:bottom w:val="nil"/>
              <w:right w:val="nil"/>
            </w:tcBorders>
            <w:tcMar>
              <w:top w:w="0" w:type="dxa"/>
              <w:left w:w="62" w:type="dxa"/>
              <w:bottom w:w="0" w:type="dxa"/>
              <w:right w:w="62" w:type="dxa"/>
            </w:tcMar>
          </w:tcPr>
          <w:p w:rsidR="00000000" w:rsidRPr="00AF160B" w:rsidP="00AF160B">
            <w:pPr>
              <w:pStyle w:val="ListBullet"/>
            </w:pPr>
            <w:r w:rsidRPr="00AF160B">
              <w:t>internal set-up (requires work to stop, work that ca</w:t>
            </w:r>
            <w:r w:rsidRPr="00AF160B">
              <w:t>n be done only when the machine or process is not actively engaged in production, computers etc. need to be reset and restarted)</w:t>
            </w:r>
          </w:p>
          <w:p w:rsidR="00000000" w:rsidRPr="00AF160B" w:rsidP="00AF160B">
            <w:pPr>
              <w:pStyle w:val="ListBullet"/>
            </w:pPr>
            <w:r w:rsidRPr="00AF160B">
              <w:t xml:space="preserve">external set-up (work can continue during the changeover, work can be done concurrently with the machine or process performing </w:t>
            </w:r>
            <w:r w:rsidRPr="00AF160B">
              <w:t>production duties).</w:t>
            </w:r>
          </w:p>
          <w:p w:rsidR="00000000" w:rsidP="00AF160B">
            <w:pPr>
              <w:pStyle w:val="BodyText"/>
              <w:rPr>
                <w:lang w:val="en-NZ"/>
              </w:rPr>
            </w:pPr>
          </w:p>
        </w:tc>
      </w:tr>
      <w:tr w:rsidTr="00AF160B">
        <w:tblPrEx>
          <w:tblW w:w="0" w:type="auto"/>
          <w:tblLayout w:type="fixed"/>
          <w:tblCellMar>
            <w:left w:w="62" w:type="dxa"/>
            <w:right w:w="62" w:type="dxa"/>
          </w:tblCellMar>
          <w:tblLook w:val="0000"/>
        </w:tblPrEx>
        <w:tc>
          <w:tcPr>
            <w:tcW w:w="2224" w:type="dxa"/>
            <w:tcBorders>
              <w:top w:val="nil"/>
              <w:left w:val="nil"/>
              <w:bottom w:val="nil"/>
              <w:right w:val="nil"/>
            </w:tcBorders>
            <w:tcMar>
              <w:top w:w="0" w:type="dxa"/>
              <w:left w:w="62" w:type="dxa"/>
              <w:bottom w:w="0" w:type="dxa"/>
              <w:right w:w="62" w:type="dxa"/>
            </w:tcMar>
          </w:tcPr>
          <w:p w:rsidR="00000000" w:rsidP="00AF160B">
            <w:pPr>
              <w:pStyle w:val="BodyText"/>
              <w:rPr>
                <w:lang w:val="en-NZ"/>
              </w:rPr>
            </w:pPr>
            <w:r w:rsidRPr="00AF160B">
              <w:rPr>
                <w:rStyle w:val="SpecialBold"/>
              </w:rPr>
              <w:t>Set-up time includes:</w:t>
            </w:r>
          </w:p>
        </w:tc>
        <w:tc>
          <w:tcPr>
            <w:tcW w:w="6848" w:type="dxa"/>
            <w:tcBorders>
              <w:top w:val="nil"/>
              <w:left w:val="nil"/>
              <w:bottom w:val="nil"/>
              <w:right w:val="nil"/>
            </w:tcBorders>
            <w:tcMar>
              <w:top w:w="0" w:type="dxa"/>
              <w:left w:w="62" w:type="dxa"/>
              <w:bottom w:w="0" w:type="dxa"/>
              <w:right w:w="62" w:type="dxa"/>
            </w:tcMar>
          </w:tcPr>
          <w:p w:rsidR="00000000" w:rsidRPr="00AF160B" w:rsidP="00AF160B">
            <w:pPr>
              <w:pStyle w:val="ListBullet"/>
            </w:pPr>
            <w:r w:rsidRPr="00AF160B">
              <w:t>the work time required to change over a machine or process from one item or operation to the next item or operation.</w:t>
            </w:r>
          </w:p>
          <w:p w:rsidR="00000000" w:rsidP="00AF160B">
            <w:pPr>
              <w:pStyle w:val="BodyText"/>
              <w:rPr>
                <w:lang w:val="en-NZ"/>
              </w:rPr>
            </w:pPr>
          </w:p>
        </w:tc>
      </w:tr>
      <w:tr w:rsidTr="00AF160B">
        <w:tblPrEx>
          <w:tblW w:w="0" w:type="auto"/>
          <w:tblLayout w:type="fixed"/>
          <w:tblCellMar>
            <w:left w:w="62" w:type="dxa"/>
            <w:right w:w="62" w:type="dxa"/>
          </w:tblCellMar>
          <w:tblLook w:val="0000"/>
        </w:tblPrEx>
        <w:tc>
          <w:tcPr>
            <w:tcW w:w="2224" w:type="dxa"/>
            <w:tcBorders>
              <w:top w:val="nil"/>
              <w:left w:val="nil"/>
              <w:bottom w:val="nil"/>
              <w:right w:val="nil"/>
            </w:tcBorders>
            <w:tcMar>
              <w:top w:w="0" w:type="dxa"/>
              <w:left w:w="62" w:type="dxa"/>
              <w:bottom w:w="0" w:type="dxa"/>
              <w:right w:w="62" w:type="dxa"/>
            </w:tcMar>
          </w:tcPr>
          <w:p w:rsidR="00000000" w:rsidRPr="00AF160B" w:rsidP="00AF160B">
            <w:pPr>
              <w:pStyle w:val="BodyText"/>
            </w:pPr>
            <w:r w:rsidRPr="00AF160B">
              <w:rPr>
                <w:rStyle w:val="SpecialBold"/>
              </w:rPr>
              <w:t>Procedures (written, verbal, visual, computer based, etc.) include one or more of:</w:t>
            </w:r>
          </w:p>
          <w:p w:rsidR="00000000" w:rsidP="00AF160B">
            <w:pPr>
              <w:pStyle w:val="BodyText"/>
              <w:rPr>
                <w:lang w:val="en-NZ"/>
              </w:rPr>
            </w:pPr>
          </w:p>
        </w:tc>
        <w:tc>
          <w:tcPr>
            <w:tcW w:w="6848" w:type="dxa"/>
            <w:tcBorders>
              <w:top w:val="nil"/>
              <w:left w:val="nil"/>
              <w:bottom w:val="nil"/>
              <w:right w:val="nil"/>
            </w:tcBorders>
            <w:tcMar>
              <w:top w:w="0" w:type="dxa"/>
              <w:left w:w="62" w:type="dxa"/>
              <w:bottom w:w="0" w:type="dxa"/>
              <w:right w:w="62" w:type="dxa"/>
            </w:tcMar>
          </w:tcPr>
          <w:p w:rsidR="00000000" w:rsidRPr="00AF160B" w:rsidP="00AF160B">
            <w:pPr>
              <w:pStyle w:val="ListBullet"/>
            </w:pPr>
            <w:r w:rsidRPr="00AF160B">
              <w:t>work instructions</w:t>
            </w:r>
          </w:p>
          <w:p w:rsidR="00000000" w:rsidRPr="00AF160B" w:rsidP="00AF160B">
            <w:pPr>
              <w:pStyle w:val="ListBullet"/>
            </w:pPr>
            <w:r w:rsidRPr="00AF160B">
              <w:t>standard operating procedures (SOPs)</w:t>
            </w:r>
          </w:p>
          <w:p w:rsidR="00000000" w:rsidRPr="00AF160B" w:rsidP="00AF160B">
            <w:pPr>
              <w:pStyle w:val="ListBullet"/>
            </w:pPr>
            <w:r w:rsidRPr="00AF160B">
              <w:t>safe work method statements</w:t>
            </w:r>
          </w:p>
          <w:p w:rsidR="00000000" w:rsidRPr="00AF160B" w:rsidP="00AF160B">
            <w:pPr>
              <w:pStyle w:val="ListBullet"/>
            </w:pPr>
            <w:r w:rsidRPr="00AF160B">
              <w:t>formulas/recipes</w:t>
            </w:r>
          </w:p>
          <w:p w:rsidR="00000000" w:rsidRPr="00AF160B" w:rsidP="00AF160B">
            <w:pPr>
              <w:pStyle w:val="ListBullet"/>
            </w:pPr>
            <w:r w:rsidRPr="00AF160B">
              <w:t>batch sheets</w:t>
            </w:r>
          </w:p>
          <w:p w:rsidR="00000000" w:rsidRPr="00AF160B" w:rsidP="00AF160B">
            <w:pPr>
              <w:pStyle w:val="ListBullet"/>
            </w:pPr>
            <w:r w:rsidRPr="00AF160B">
              <w:t>temporary instructions</w:t>
            </w:r>
          </w:p>
          <w:p w:rsidR="00000000" w:rsidRPr="00AF160B" w:rsidP="00AF160B">
            <w:pPr>
              <w:pStyle w:val="ListBullet"/>
            </w:pPr>
            <w:r w:rsidRPr="00AF160B">
              <w:t>any similar instructions provided for the smooth running of the plant.</w:t>
            </w:r>
          </w:p>
          <w:p w:rsidR="00000000" w:rsidRPr="00AF160B" w:rsidP="00AF160B">
            <w:pPr>
              <w:pStyle w:val="BodyText"/>
            </w:pPr>
          </w:p>
        </w:tc>
      </w:tr>
    </w:tbl>
    <w:p w:rsidR="00000000" w:rsidRPr="00AF160B" w:rsidP="00AF160B">
      <w:pPr>
        <w:pStyle w:val="BodyText"/>
      </w:pPr>
    </w:p>
    <w:p w:rsidR="00000000" w:rsidRPr="00AF160B" w:rsidP="00AF160B">
      <w:pPr>
        <w:pStyle w:val="AllowPageBreak"/>
      </w:pPr>
    </w:p>
    <w:p w:rsidR="00000000" w:rsidRPr="00AF160B" w:rsidP="00AF160B">
      <w:pPr>
        <w:pStyle w:val="Heading1"/>
      </w:pPr>
      <w:bookmarkStart w:id="9" w:name="O_919865"/>
      <w:bookmarkEnd w:id="9"/>
      <w:r w:rsidRPr="00AF160B">
        <w:t>Unit Mapping Information</w:t>
      </w:r>
    </w:p>
    <w:p w:rsidR="00000000" w:rsidRPr="00AF160B" w:rsidP="001E2374">
      <w:pPr>
        <w:pStyle w:val="BodyText"/>
      </w:pPr>
      <w:r w:rsidRPr="00AF160B">
        <w:t>Release 1. Supersedes and is equivalent to MSS402020A Apply quick changeover procedures</w:t>
      </w:r>
    </w:p>
    <w:p w:rsidR="00000000" w:rsidRPr="00AF160B" w:rsidP="00AF160B">
      <w:pPr>
        <w:pStyle w:val="Heading1"/>
      </w:pPr>
      <w:bookmarkStart w:id="10" w:name="O_919858"/>
      <w:bookmarkEnd w:id="10"/>
      <w:r w:rsidRPr="00AF160B">
        <w:t>Links</w:t>
      </w:r>
    </w:p>
    <w:p w:rsidR="00000000" w:rsidRPr="00AF160B" w:rsidP="001E2374">
      <w:pPr>
        <w:pStyle w:val="BodyText"/>
      </w:pPr>
      <w:r w:rsidRPr="00AF160B">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7C68EF">
        <w:rPr>
          <w:rStyle w:val="Hyperlink"/>
        </w:rPr>
        <w:t>https://vetnet.gov.au/Pages/TrainingDocs.aspx?q=5b04f318-804f-4dc0-9463-c3fb9a3fe998</w:t>
      </w:r>
      <w:r>
        <w:fldChar w:fldCharType="end"/>
      </w:r>
    </w:p>
    <w:p w:rsidR="00000000" w:rsidRPr="00AF160B" w:rsidP="001E2374">
      <w:pPr>
        <w:pStyle w:val="BodyText"/>
        <w:sectPr w:rsidSect="00AF160B">
          <w:headerReference w:type="default" r:id="rId10"/>
          <w:footerReference w:type="default" r:id="rId11"/>
          <w:pgSz w:w="11908" w:h="16833"/>
          <w:pgMar w:top="1702" w:right="1418" w:bottom="1702" w:left="1418" w:header="992" w:footer="992" w:gutter="0"/>
          <w:cols w:space="720"/>
          <w:noEndnote/>
          <w:docGrid w:linePitch="299"/>
        </w:sectPr>
      </w:pPr>
    </w:p>
    <w:p w:rsidR="00000000" w:rsidRPr="00AF160B" w:rsidP="00AF160B">
      <w:pPr>
        <w:pStyle w:val="SuperHeading"/>
      </w:pPr>
      <w:r w:rsidRPr="00AF160B">
        <w:t>Assessment Requirements for MSS402020 Apply quick changeover procedures</w:t>
      </w:r>
    </w:p>
    <w:p w:rsidR="00000000" w:rsidRPr="00AF160B" w:rsidP="00AF160B">
      <w:pPr>
        <w:pStyle w:val="Heading1"/>
      </w:pPr>
      <w:bookmarkStart w:id="11" w:name="O_919860"/>
      <w:bookmarkEnd w:id="11"/>
      <w:r w:rsidRPr="00AF160B">
        <w:t>Modification History</w:t>
      </w:r>
    </w:p>
    <w:p w:rsidR="00000000" w:rsidRPr="00AF160B" w:rsidP="001E2374">
      <w:pPr>
        <w:pStyle w:val="BodyText"/>
      </w:pPr>
      <w:r w:rsidRPr="00AF160B">
        <w:t>Release 1. Supersedes and is equivalent to MSS402020A Apply quick changeover procedures</w:t>
      </w:r>
    </w:p>
    <w:p w:rsidR="00000000" w:rsidRPr="00AF160B" w:rsidP="00AF160B">
      <w:pPr>
        <w:pStyle w:val="Heading1"/>
      </w:pPr>
      <w:bookmarkStart w:id="12" w:name="O_919863"/>
      <w:bookmarkEnd w:id="12"/>
      <w:r w:rsidRPr="00AF160B">
        <w:t>Performance Evidence</w:t>
      </w:r>
    </w:p>
    <w:p w:rsidR="00000000" w:rsidRPr="00AF160B" w:rsidP="001E2374">
      <w:pPr>
        <w:pStyle w:val="BodyText"/>
      </w:pPr>
      <w:r w:rsidRPr="00AF160B">
        <w:t>Evidence required to demonstrate competence in this unit must be relevant to and satisfy the requirements of the elements and performance criteria and include the ability, for three (3) or more quick changeovers, to:</w:t>
      </w:r>
    </w:p>
    <w:p w:rsidR="00000000" w:rsidRPr="00AF160B" w:rsidP="00AF160B">
      <w:pPr>
        <w:pStyle w:val="ListBullet"/>
      </w:pPr>
      <w:r w:rsidRPr="00AF160B">
        <w:t xml:space="preserve">identify </w:t>
      </w:r>
      <w:r w:rsidRPr="00AF160B">
        <w:t>the scope and equipment to be used in a quick changeover implemented in their own workplace</w:t>
      </w:r>
    </w:p>
    <w:p w:rsidR="00000000" w:rsidRPr="00AF160B" w:rsidP="00AF160B">
      <w:pPr>
        <w:pStyle w:val="ListBullet"/>
      </w:pPr>
      <w:r w:rsidRPr="00AF160B">
        <w:t>plan and complete changeover</w:t>
      </w:r>
    </w:p>
    <w:p w:rsidR="00000000" w:rsidRPr="00AF160B" w:rsidP="00AF160B">
      <w:pPr>
        <w:pStyle w:val="ListBullet"/>
      </w:pPr>
      <w:r w:rsidRPr="00AF160B">
        <w:t>identify problems in quick changeovers</w:t>
      </w:r>
    </w:p>
    <w:p w:rsidR="00000000" w:rsidRPr="00AF160B" w:rsidP="00AF160B">
      <w:pPr>
        <w:pStyle w:val="ListBullet"/>
      </w:pPr>
      <w:r w:rsidRPr="00AF160B">
        <w:t>contribute suggestions for improvement.</w:t>
      </w:r>
    </w:p>
    <w:p w:rsidR="00000000" w:rsidRPr="00AF160B" w:rsidP="00AF160B">
      <w:pPr>
        <w:pStyle w:val="AllowPageBreak"/>
      </w:pPr>
    </w:p>
    <w:p w:rsidR="00000000" w:rsidRPr="00AF160B" w:rsidP="00AF160B">
      <w:pPr>
        <w:pStyle w:val="Heading1"/>
      </w:pPr>
      <w:bookmarkStart w:id="13" w:name="O_919862"/>
      <w:bookmarkEnd w:id="13"/>
      <w:r w:rsidRPr="00AF160B">
        <w:t>Knowledge Evidence</w:t>
      </w:r>
    </w:p>
    <w:p w:rsidR="00000000" w:rsidRPr="00AF160B" w:rsidP="00AF160B">
      <w:pPr>
        <w:pStyle w:val="ListBullet"/>
      </w:pPr>
      <w:r w:rsidRPr="00AF160B">
        <w:t>Must provide evidence that demonstrates knowledge relevant to their job role sufficient to fulfil their job role under routine only supervision and to solve routine problems, including knowledge of:</w:t>
      </w:r>
    </w:p>
    <w:p w:rsidR="00000000" w:rsidRPr="00AF160B" w:rsidP="00AF160B">
      <w:pPr>
        <w:pStyle w:val="ListBullet"/>
      </w:pPr>
      <w:r w:rsidRPr="00AF160B">
        <w:t>principles of quick changeover, including:</w:t>
      </w:r>
    </w:p>
    <w:p w:rsidR="00000000" w:rsidRPr="00AF160B" w:rsidP="00AF160B">
      <w:pPr>
        <w:pStyle w:val="ListBullet2"/>
      </w:pPr>
      <w:r w:rsidRPr="00AF160B">
        <w:t>setting of ta</w:t>
      </w:r>
      <w:r w:rsidRPr="00AF160B">
        <w:t xml:space="preserve">rget time for changeover </w:t>
      </w:r>
    </w:p>
    <w:p w:rsidR="00000000" w:rsidRPr="00AF160B" w:rsidP="00AF160B">
      <w:pPr>
        <w:pStyle w:val="ListBullet2"/>
      </w:pPr>
      <w:r w:rsidRPr="00AF160B">
        <w:t>conversion of internal set-up time to external set-up time, where appropriate</w:t>
      </w:r>
    </w:p>
    <w:p w:rsidR="00000000" w:rsidRPr="00AF160B" w:rsidP="00AF160B">
      <w:pPr>
        <w:pStyle w:val="ListBullet2"/>
      </w:pPr>
      <w:r w:rsidRPr="00AF160B">
        <w:t xml:space="preserve">simplification of changeover steps </w:t>
      </w:r>
    </w:p>
    <w:p w:rsidR="00000000" w:rsidRPr="00AF160B" w:rsidP="00AF160B">
      <w:pPr>
        <w:pStyle w:val="ListBullet2"/>
      </w:pPr>
      <w:r w:rsidRPr="00AF160B">
        <w:t>monitoring and continuous improvement of changeovers</w:t>
      </w:r>
    </w:p>
    <w:p w:rsidR="00000000" w:rsidRPr="00AF160B" w:rsidP="00AF160B">
      <w:pPr>
        <w:pStyle w:val="ListBullet"/>
      </w:pPr>
      <w:r w:rsidRPr="00AF160B">
        <w:t>purpose and requirements of changeover</w:t>
      </w:r>
    </w:p>
    <w:p w:rsidR="00000000" w:rsidRPr="00AF160B" w:rsidP="00AF160B">
      <w:pPr>
        <w:pStyle w:val="ListBullet"/>
      </w:pPr>
      <w:r w:rsidRPr="00AF160B">
        <w:t>minimisation of changeo</w:t>
      </w:r>
      <w:r w:rsidRPr="00AF160B">
        <w:t>ver waste (e.g. scrap and energy)</w:t>
      </w:r>
    </w:p>
    <w:p w:rsidR="00000000" w:rsidRPr="00AF160B" w:rsidP="00AF160B">
      <w:pPr>
        <w:pStyle w:val="ListBullet"/>
      </w:pPr>
      <w:r w:rsidRPr="00AF160B">
        <w:t>quality requirements for products and purposes</w:t>
      </w:r>
    </w:p>
    <w:p w:rsidR="00000000" w:rsidRPr="00AF160B" w:rsidP="00AF160B">
      <w:pPr>
        <w:pStyle w:val="ListBullet"/>
      </w:pPr>
      <w:r w:rsidRPr="00AF160B">
        <w:t>relevant operational procedures</w:t>
      </w:r>
    </w:p>
    <w:p w:rsidR="00000000" w:rsidRPr="00AF160B" w:rsidP="00AF160B">
      <w:pPr>
        <w:pStyle w:val="ListBullet"/>
      </w:pPr>
      <w:r w:rsidRPr="00AF160B">
        <w:t>health, safety and environment (HSE) principles relevant to own job.</w:t>
      </w:r>
    </w:p>
    <w:p w:rsidR="00000000" w:rsidRPr="00AF160B" w:rsidP="00AF160B">
      <w:pPr>
        <w:pStyle w:val="AllowPageBreak"/>
      </w:pPr>
    </w:p>
    <w:p w:rsidR="00000000" w:rsidRPr="00AF160B" w:rsidP="00AF160B">
      <w:pPr>
        <w:pStyle w:val="Heading1"/>
      </w:pPr>
      <w:bookmarkStart w:id="14" w:name="O_919861"/>
      <w:bookmarkEnd w:id="14"/>
      <w:r w:rsidRPr="00AF160B">
        <w:t>Assessment Conditions</w:t>
      </w:r>
    </w:p>
    <w:p w:rsidR="00000000" w:rsidRPr="00AF160B" w:rsidP="00AF160B">
      <w:pPr>
        <w:pStyle w:val="ListBullet"/>
      </w:pPr>
      <w:r w:rsidRPr="00AF160B">
        <w:t>The unit should be assessed holistically and the judgement of competence shall be based on a holistic assessment of the evidence.</w:t>
      </w:r>
    </w:p>
    <w:p w:rsidR="00000000" w:rsidRPr="00AF160B" w:rsidP="00AF160B">
      <w:pPr>
        <w:pStyle w:val="ListBullet"/>
      </w:pPr>
      <w:r w:rsidRPr="00AF160B">
        <w:t>The collection of performance evidence:</w:t>
      </w:r>
    </w:p>
    <w:p w:rsidR="00000000" w:rsidRPr="00AF160B" w:rsidP="00AF160B">
      <w:pPr>
        <w:pStyle w:val="ListBullet2"/>
      </w:pPr>
      <w:r w:rsidRPr="00AF160B">
        <w:t xml:space="preserve">should occur over a range of situations which include typical disruptions to normal, </w:t>
      </w:r>
      <w:r w:rsidRPr="00AF160B">
        <w:t>smooth operation of the workplace</w:t>
      </w:r>
    </w:p>
    <w:p w:rsidR="00000000" w:rsidRPr="00AF160B" w:rsidP="00AF160B">
      <w:pPr>
        <w:pStyle w:val="ListBullet2"/>
      </w:pPr>
      <w:r w:rsidRPr="00AF160B">
        <w:t>will typically include a supervisor/third-party report focussing on consistent performance and problem recognition and solving. A supervisor/third-party report must be prepared by someone who has a direct, relevant, curren</w:t>
      </w:r>
      <w:r w:rsidRPr="00AF160B">
        <w:t xml:space="preserve">t relationship with the person being assessed and who is in a position to form a judgement on workplace performance relevant to the unit of competency </w:t>
      </w:r>
    </w:p>
    <w:p w:rsidR="00000000" w:rsidRPr="00AF160B" w:rsidP="00AF160B">
      <w:pPr>
        <w:pStyle w:val="ListBullet2"/>
      </w:pPr>
      <w:r w:rsidRPr="00AF160B">
        <w:t>must include actual quick changeovers, the use of appropriate tools, equipment and safety gear requiring</w:t>
      </w:r>
      <w:r w:rsidRPr="00AF160B">
        <w:t xml:space="preserve"> demonstration of preparation, operation, completion and responding to problems.</w:t>
      </w:r>
    </w:p>
    <w:p w:rsidR="00000000" w:rsidRPr="00AF160B" w:rsidP="00AF160B">
      <w:pPr>
        <w:pStyle w:val="ListBullet"/>
      </w:pPr>
      <w:r w:rsidRPr="00AF160B">
        <w:t>Assessment should occur in operational workplace situations. Knowledge evidence may be collected concurrently with performance evidence (provided a record is kept) or through</w:t>
      </w:r>
      <w:r w:rsidRPr="00AF160B">
        <w:t xml:space="preserve"> an independent process such </w:t>
      </w:r>
      <w:r w:rsidRPr="00AF160B">
        <w:t>as workbooks, written assessments or interviews (provided a record is kept).</w:t>
      </w:r>
    </w:p>
    <w:p w:rsidR="00000000" w:rsidRPr="00AF160B" w:rsidP="00AF160B">
      <w:pPr>
        <w:pStyle w:val="ListBullet"/>
      </w:pPr>
      <w:r w:rsidRPr="00AF160B">
        <w:t xml:space="preserve">Assessment processes and techniques must be appropriate to the language, literacy and numeracy requirements of the work being performed and the needs </w:t>
      </w:r>
      <w:r w:rsidRPr="00AF160B">
        <w:t>of the candidate.</w:t>
      </w:r>
    </w:p>
    <w:p w:rsidR="00000000" w:rsidRPr="00AF160B" w:rsidP="00AF160B">
      <w:pPr>
        <w:pStyle w:val="ListBullet"/>
      </w:pPr>
      <w:r w:rsidRPr="00AF160B">
        <w:t>Conditions for assessment must include access to all tools, equipment, materials and documentation required, including relevant workplace procedures, product and manufacturing specifications associated with this unit.</w:t>
      </w:r>
    </w:p>
    <w:p w:rsidR="00000000" w:rsidRPr="00AF160B" w:rsidP="00AF160B">
      <w:pPr>
        <w:pStyle w:val="ListBullet"/>
      </w:pPr>
      <w:r w:rsidRPr="00AF160B">
        <w:t>Foundation skills ar</w:t>
      </w:r>
      <w:r w:rsidRPr="00AF160B">
        <w:t>e integral to competent performance of the unit and should not be assessed separately.</w:t>
      </w:r>
    </w:p>
    <w:p w:rsidR="00000000" w:rsidRPr="00AF160B" w:rsidP="00AF160B">
      <w:pPr>
        <w:pStyle w:val="ListBullet"/>
      </w:pPr>
      <w:r w:rsidRPr="00AF160B">
        <w:t xml:space="preserve">Assessors must satisfy the assessor competency requirements that are in place at the time of the assessment as set by the VET regulator.  </w:t>
      </w:r>
    </w:p>
    <w:p w:rsidR="00000000" w:rsidRPr="00AF160B" w:rsidP="00AF160B">
      <w:pPr>
        <w:pStyle w:val="ListBullet"/>
      </w:pPr>
      <w:r w:rsidRPr="00AF160B">
        <w:t xml:space="preserve">The assessor must demonstrate </w:t>
      </w:r>
      <w:r w:rsidRPr="00AF160B">
        <w:t>both technical competency and currency.</w:t>
      </w:r>
    </w:p>
    <w:p w:rsidR="00000000" w:rsidRPr="00AF160B" w:rsidP="00AF160B">
      <w:pPr>
        <w:pStyle w:val="ListBullet"/>
      </w:pPr>
      <w:r w:rsidRPr="00AF160B">
        <w:t>Technical competence can be demonstrated through:</w:t>
      </w:r>
    </w:p>
    <w:p w:rsidR="00000000" w:rsidRPr="00AF160B" w:rsidP="00AF160B">
      <w:pPr>
        <w:pStyle w:val="ListBullet2"/>
      </w:pPr>
      <w:r w:rsidRPr="00AF160B">
        <w:t>relevant VET or other qualification/Statement of Attainment AND/OR</w:t>
      </w:r>
    </w:p>
    <w:p w:rsidR="00000000" w:rsidRPr="00AF160B" w:rsidP="00AF160B">
      <w:pPr>
        <w:pStyle w:val="ListBullet2"/>
      </w:pPr>
      <w:r w:rsidRPr="00AF160B">
        <w:t xml:space="preserve">relevant workplace experience </w:t>
      </w:r>
    </w:p>
    <w:p w:rsidR="00000000" w:rsidRPr="00AF160B" w:rsidP="00AF160B">
      <w:pPr>
        <w:pStyle w:val="ListBullet"/>
      </w:pPr>
      <w:r w:rsidRPr="00AF160B">
        <w:t>Currency can be demonstrated through:</w:t>
      </w:r>
    </w:p>
    <w:p w:rsidR="00000000" w:rsidRPr="00AF160B" w:rsidP="00AF160B">
      <w:pPr>
        <w:pStyle w:val="ListBullet2"/>
      </w:pPr>
      <w:r w:rsidRPr="00AF160B">
        <w:t>performing the competency being assessed as part of current employment OR</w:t>
      </w:r>
    </w:p>
    <w:p w:rsidR="00000000" w:rsidRPr="00AF160B" w:rsidP="00AF160B">
      <w:pPr>
        <w:pStyle w:val="ListBullet2"/>
      </w:pPr>
      <w:r w:rsidRPr="00AF160B">
        <w:t>having consulted with an organisation providing relevant environmental monitoring, management or technology services about performing the competency being assessed within the last tw</w:t>
      </w:r>
      <w:r w:rsidRPr="00AF160B">
        <w:t>elve months.</w:t>
      </w:r>
    </w:p>
    <w:p w:rsidR="00000000" w:rsidRPr="00AF160B" w:rsidP="00AF160B">
      <w:pPr>
        <w:pStyle w:val="AllowPageBreak"/>
      </w:pPr>
    </w:p>
    <w:p w:rsidR="00000000" w:rsidRPr="00AF160B" w:rsidP="00AF160B">
      <w:pPr>
        <w:pStyle w:val="Heading1"/>
      </w:pPr>
      <w:bookmarkStart w:id="15" w:name="O_919859"/>
      <w:bookmarkEnd w:id="15"/>
      <w:r w:rsidRPr="00AF160B">
        <w:t>Links</w:t>
      </w:r>
    </w:p>
    <w:p w:rsidR="00000000" w:rsidRPr="00AF160B" w:rsidP="001E2374">
      <w:pPr>
        <w:pStyle w:val="BodyText"/>
      </w:pPr>
      <w:r w:rsidRPr="00AF160B">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7C68EF">
        <w:rPr>
          <w:rStyle w:val="Hyperlink"/>
        </w:rPr>
        <w:t>https://vetnet.gov.au/Pages/TrainingDocs.aspx?q=5b04f318-804f-4dc0-9463-c3fb9a3fe998</w:t>
      </w:r>
      <w:r>
        <w:fldChar w:fldCharType="end"/>
      </w:r>
    </w:p>
    <w:p w:rsidR="00000000" w:rsidRPr="00AF160B" w:rsidP="00AF160B"/>
    <w:sectPr w:rsidSect="00AF160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6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60B" w:rsidRPr="001E2374" w:rsidP="001E23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6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374" w:rsidP="00AF16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E2374" w:rsidP="00AF160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E2374" w:rsidP="00AF160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60B" w:rsidP="00AF160B">
    <w:pPr>
      <w:pStyle w:val="Footer"/>
      <w:framePr w:wrap="around"/>
    </w:pPr>
    <w:r>
      <w:fldChar w:fldCharType="begin"/>
    </w:r>
    <w:r>
      <w:instrText xml:space="preserve"> DOCPROPERTY  Subject  \* MERGEFORMAT </w:instrText>
    </w:r>
    <w:r>
      <w:fldChar w:fldCharType="separate"/>
    </w:r>
    <w:r w:rsidR="001E2374">
      <w:t>Approved</w:t>
    </w:r>
    <w:r w:rsidR="001E2374">
      <w:fldChar w:fldCharType="end"/>
    </w:r>
    <w:r>
      <w:tab/>
      <w:t xml:space="preserve">Page </w:t>
    </w:r>
    <w:r>
      <w:fldChar w:fldCharType="begin"/>
    </w:r>
    <w:r>
      <w:instrText xml:space="preserve"> PAGE  \* Arabic  \* MERGEFORMAT </w:instrText>
    </w:r>
    <w:r>
      <w:fldChar w:fldCharType="separate"/>
    </w:r>
    <w:r w:rsidR="001E237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E2374">
      <w:rPr>
        <w:noProof/>
      </w:rPr>
      <w:t>5</w:t>
    </w:r>
    <w:r>
      <w:rPr>
        <w:noProof/>
      </w:rPr>
      <w:fldChar w:fldCharType="end"/>
    </w:r>
  </w:p>
  <w:p w:rsidR="00AF160B" w:rsidP="00AF160B">
    <w:pPr>
      <w:pStyle w:val="Footer"/>
      <w:framePr w:wrap="around"/>
    </w:pPr>
    <w:r>
      <w:t xml:space="preserve">© Commonwealth of Australia, </w:t>
    </w:r>
    <w:r>
      <w:fldChar w:fldCharType="begin"/>
    </w:r>
    <w:r>
      <w:instrText xml:space="preserve"> DATE  \@ "yyyy"  \* MERGEFORMAT </w:instrText>
    </w:r>
    <w:r>
      <w:fldChar w:fldCharType="separate"/>
    </w:r>
    <w:r w:rsidR="001E2374">
      <w:rPr>
        <w:noProof/>
      </w:rPr>
      <w:t>2025</w:t>
    </w:r>
    <w:r>
      <w:fldChar w:fldCharType="end"/>
    </w:r>
    <w:r>
      <w:tab/>
    </w:r>
    <w:r>
      <w:fldChar w:fldCharType="begin"/>
    </w:r>
    <w:r>
      <w:instrText xml:space="preserve"> DOCPROPERTY  Author  \* MERGEFORMAT </w:instrText>
    </w:r>
    <w:r>
      <w:fldChar w:fldCharType="separate"/>
    </w:r>
    <w:r w:rsidR="001E2374">
      <w:t>Manufacturing Industry Skills Alliance</w:t>
    </w:r>
    <w:r w:rsidR="001E2374">
      <w:fldChar w:fldCharType="end"/>
    </w:r>
  </w:p>
  <w:p w:rsidR="00AF160B" w:rsidP="00AF16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6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3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160B" w:rsidRPr="001E2374" w:rsidP="001E23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6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374" w:rsidRPr="002D2AF8" w:rsidP="00AF160B">
    <w:pPr>
      <w:pStyle w:val="Header"/>
      <w:framePr w:wrap="around"/>
    </w:pPr>
    <w:r>
      <w:fldChar w:fldCharType="begin"/>
    </w:r>
    <w:r>
      <w:instrText xml:space="preserve"> TITLE   \* MERGEFORMAT </w:instrText>
    </w:r>
    <w:r>
      <w:fldChar w:fldCharType="separate"/>
    </w:r>
    <w:r>
      <w:t>MSS402020 Apply quick changeover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E2374" w:rsidP="00AF160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60B" w:rsidRPr="002D2AF8" w:rsidP="00AF160B">
    <w:pPr>
      <w:pStyle w:val="Header"/>
      <w:framePr w:wrap="around"/>
    </w:pPr>
    <w:r>
      <w:fldChar w:fldCharType="begin"/>
    </w:r>
    <w:r>
      <w:instrText xml:space="preserve"> TITLE   \* MERGEFORMAT </w:instrText>
    </w:r>
    <w:r>
      <w:fldChar w:fldCharType="separate"/>
    </w:r>
    <w:r w:rsidR="001E2374">
      <w:t>MSS402020 Apply quick changeover procedures</w:t>
    </w:r>
    <w:r w:rsidR="001E2374">
      <w:fldChar w:fldCharType="end"/>
    </w:r>
    <w:r>
      <w:tab/>
      <w:t xml:space="preserve">Date this document was generated: </w:t>
    </w:r>
    <w:r>
      <w:fldChar w:fldCharType="begin"/>
    </w:r>
    <w:r>
      <w:instrText xml:space="preserve"> CREATEDATE  \@ "d MMMM yyyy"  \* MERGEFORMAT </w:instrText>
    </w:r>
    <w:r>
      <w:fldChar w:fldCharType="separate"/>
    </w:r>
    <w:r w:rsidR="001E2374">
      <w:rPr>
        <w:noProof/>
      </w:rPr>
      <w:t>2 March 2025</w:t>
    </w:r>
    <w:r>
      <w:fldChar w:fldCharType="end"/>
    </w:r>
  </w:p>
  <w:p w:rsidR="00AF160B" w:rsidP="00AF16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10EE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906C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B001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16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160B"/>
    <w:pPr>
      <w:spacing w:before="360" w:after="60"/>
      <w:outlineLvl w:val="0"/>
    </w:pPr>
    <w:rPr>
      <w:sz w:val="32"/>
    </w:rPr>
  </w:style>
  <w:style w:type="paragraph" w:styleId="Heading2">
    <w:name w:val="heading 2"/>
    <w:basedOn w:val="HeadingBase"/>
    <w:next w:val="BodyText"/>
    <w:link w:val="Heading2Char"/>
    <w:qFormat/>
    <w:rsid w:val="00AF160B"/>
    <w:pPr>
      <w:keepLines/>
      <w:spacing w:before="240" w:after="120"/>
      <w:outlineLvl w:val="1"/>
    </w:pPr>
    <w:rPr>
      <w:sz w:val="28"/>
      <w:szCs w:val="40"/>
    </w:rPr>
  </w:style>
  <w:style w:type="paragraph" w:styleId="Heading3">
    <w:name w:val="heading 3"/>
    <w:basedOn w:val="HeadingBase"/>
    <w:next w:val="BodyText"/>
    <w:link w:val="Heading3Char"/>
    <w:qFormat/>
    <w:rsid w:val="00AF160B"/>
    <w:pPr>
      <w:spacing w:before="180" w:after="120"/>
      <w:outlineLvl w:val="2"/>
    </w:pPr>
    <w:rPr>
      <w:spacing w:val="-10"/>
      <w:kern w:val="32"/>
    </w:rPr>
  </w:style>
  <w:style w:type="paragraph" w:styleId="Heading4">
    <w:name w:val="heading 4"/>
    <w:basedOn w:val="HeadingBase"/>
    <w:next w:val="BodyText"/>
    <w:link w:val="Heading4Char"/>
    <w:qFormat/>
    <w:rsid w:val="00AF160B"/>
    <w:pPr>
      <w:spacing w:before="160" w:after="120"/>
      <w:outlineLvl w:val="3"/>
    </w:pPr>
    <w:rPr>
      <w:sz w:val="22"/>
    </w:rPr>
  </w:style>
  <w:style w:type="paragraph" w:styleId="Heading5">
    <w:name w:val="heading 5"/>
    <w:basedOn w:val="HeadingBase"/>
    <w:next w:val="Normal"/>
    <w:link w:val="Heading5Char"/>
    <w:qFormat/>
    <w:rsid w:val="00AF160B"/>
    <w:pPr>
      <w:spacing w:before="80"/>
      <w:outlineLvl w:val="4"/>
    </w:pPr>
    <w:rPr>
      <w:color w:val="918585"/>
      <w:sz w:val="20"/>
    </w:rPr>
  </w:style>
  <w:style w:type="paragraph" w:styleId="Heading6">
    <w:name w:val="heading 6"/>
    <w:basedOn w:val="HeadingBase"/>
    <w:next w:val="Normal"/>
    <w:link w:val="Heading6Char"/>
    <w:qFormat/>
    <w:rsid w:val="00AF160B"/>
    <w:pPr>
      <w:spacing w:before="60"/>
      <w:outlineLvl w:val="5"/>
    </w:pPr>
    <w:rPr>
      <w:color w:val="918585"/>
      <w:sz w:val="20"/>
    </w:rPr>
  </w:style>
  <w:style w:type="paragraph" w:styleId="Heading7">
    <w:name w:val="heading 7"/>
    <w:basedOn w:val="Normal"/>
    <w:next w:val="Normal"/>
    <w:link w:val="Heading7Char"/>
    <w:qFormat/>
    <w:rsid w:val="00AF160B"/>
    <w:pPr>
      <w:ind w:left="720"/>
      <w:outlineLvl w:val="6"/>
    </w:pPr>
    <w:rPr>
      <w:i/>
    </w:rPr>
  </w:style>
  <w:style w:type="paragraph" w:styleId="Heading8">
    <w:name w:val="heading 8"/>
    <w:basedOn w:val="Normal"/>
    <w:next w:val="Normal"/>
    <w:link w:val="Heading8Char"/>
    <w:qFormat/>
    <w:rsid w:val="00AF160B"/>
    <w:pPr>
      <w:ind w:left="720"/>
      <w:outlineLvl w:val="7"/>
    </w:pPr>
    <w:rPr>
      <w:i/>
    </w:rPr>
  </w:style>
  <w:style w:type="paragraph" w:styleId="Heading9">
    <w:name w:val="heading 9"/>
    <w:basedOn w:val="Normal"/>
    <w:next w:val="Normal"/>
    <w:link w:val="Heading9Char"/>
    <w:qFormat/>
    <w:rsid w:val="00AF160B"/>
    <w:pPr>
      <w:ind w:left="720"/>
      <w:outlineLvl w:val="8"/>
    </w:pPr>
    <w:rPr>
      <w:i/>
    </w:rPr>
  </w:style>
  <w:style w:type="character" w:default="1" w:styleId="DefaultParagraphFont">
    <w:name w:val="Default Paragraph Font"/>
    <w:uiPriority w:val="1"/>
    <w:unhideWhenUsed/>
    <w:rsid w:val="00AF16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160B"/>
  </w:style>
  <w:style w:type="character" w:customStyle="1" w:styleId="Heading1Char">
    <w:name w:val="Heading 1 Char"/>
    <w:basedOn w:val="DefaultParagraphFont"/>
    <w:link w:val="Heading1"/>
    <w:rsid w:val="00AF160B"/>
    <w:rPr>
      <w:rFonts w:ascii="Times New Roman" w:eastAsia="Times New Roman" w:hAnsi="Times New Roman" w:cs="Times New Roman"/>
      <w:b/>
      <w:sz w:val="32"/>
      <w:szCs w:val="20"/>
      <w:lang w:eastAsia="en-US"/>
    </w:rPr>
  </w:style>
  <w:style w:type="paragraph" w:styleId="BodyText">
    <w:name w:val="Body Text"/>
    <w:basedOn w:val="Normal"/>
    <w:link w:val="BodyTextChar"/>
    <w:rsid w:val="00AF16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160B"/>
    <w:rPr>
      <w:rFonts w:ascii="Times New Roman" w:eastAsia="Times New Roman" w:hAnsi="Times New Roman" w:cs="Times New Roman"/>
      <w:sz w:val="24"/>
      <w:lang w:eastAsia="en-US"/>
    </w:rPr>
  </w:style>
  <w:style w:type="paragraph" w:styleId="ListBullet">
    <w:name w:val="List Bullet"/>
    <w:basedOn w:val="List"/>
    <w:rsid w:val="00AF160B"/>
    <w:pPr>
      <w:numPr>
        <w:numId w:val="12"/>
      </w:numPr>
      <w:tabs>
        <w:tab w:val="clear" w:pos="340"/>
      </w:tabs>
      <w:spacing w:before="40" w:after="40"/>
    </w:pPr>
  </w:style>
  <w:style w:type="character" w:customStyle="1" w:styleId="SpecialBold">
    <w:name w:val="Special Bold"/>
    <w:basedOn w:val="DefaultParagraphFont"/>
    <w:rsid w:val="00AF160B"/>
    <w:rPr>
      <w:b/>
      <w:spacing w:val="0"/>
    </w:rPr>
  </w:style>
  <w:style w:type="paragraph" w:styleId="ListBullet2">
    <w:name w:val="List Bullet 2"/>
    <w:basedOn w:val="List2"/>
    <w:rsid w:val="00AF160B"/>
    <w:pPr>
      <w:numPr>
        <w:numId w:val="13"/>
      </w:numPr>
      <w:tabs>
        <w:tab w:val="clear" w:pos="680"/>
      </w:tabs>
    </w:pPr>
  </w:style>
  <w:style w:type="paragraph" w:customStyle="1" w:styleId="SuperHeading">
    <w:name w:val="SuperHeading"/>
    <w:basedOn w:val="Normal"/>
    <w:rsid w:val="00AF160B"/>
    <w:pPr>
      <w:spacing w:before="240" w:after="120"/>
      <w:outlineLvl w:val="0"/>
    </w:pPr>
    <w:rPr>
      <w:rFonts w:ascii="Times New Roman" w:hAnsi="Times New Roman"/>
      <w:b/>
      <w:sz w:val="32"/>
    </w:rPr>
  </w:style>
  <w:style w:type="paragraph" w:customStyle="1" w:styleId="AllowPageBreak">
    <w:name w:val="AllowPageBreak"/>
    <w:rsid w:val="00AF16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16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16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16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16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16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16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16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160B"/>
    <w:rPr>
      <w:rFonts w:ascii="Courier New" w:eastAsia="Times New Roman" w:hAnsi="Courier New" w:cs="Times New Roman"/>
      <w:i/>
      <w:szCs w:val="20"/>
      <w:lang w:eastAsia="en-US"/>
    </w:rPr>
  </w:style>
  <w:style w:type="paragraph" w:customStyle="1" w:styleId="HeadingBase">
    <w:name w:val="Heading Base"/>
    <w:rsid w:val="00AF16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160B"/>
    <w:pPr>
      <w:tabs>
        <w:tab w:val="right" w:leader="dot" w:pos="9072"/>
      </w:tabs>
      <w:ind w:left="567"/>
    </w:pPr>
    <w:rPr>
      <w:szCs w:val="22"/>
    </w:rPr>
  </w:style>
  <w:style w:type="paragraph" w:customStyle="1" w:styleId="TOCBase">
    <w:name w:val="TOC Base"/>
    <w:rsid w:val="00AF16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160B"/>
    <w:pPr>
      <w:tabs>
        <w:tab w:val="right" w:leader="dot" w:pos="9072"/>
      </w:tabs>
      <w:spacing w:before="40" w:after="40"/>
      <w:ind w:left="284"/>
    </w:pPr>
    <w:rPr>
      <w:rFonts w:ascii="Times New Roman" w:hAnsi="Times New Roman"/>
    </w:rPr>
  </w:style>
  <w:style w:type="paragraph" w:styleId="TOC1">
    <w:name w:val="toc 1"/>
    <w:basedOn w:val="TOCBase"/>
    <w:next w:val="Normal"/>
    <w:rsid w:val="00AF16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16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160B"/>
    <w:rPr>
      <w:rFonts w:ascii="Times New Roman" w:eastAsia="Times New Roman" w:hAnsi="Times New Roman" w:cs="Times New Roman"/>
      <w:sz w:val="16"/>
      <w:lang w:eastAsia="en-US"/>
    </w:rPr>
  </w:style>
  <w:style w:type="paragraph" w:styleId="Title">
    <w:name w:val="Title"/>
    <w:basedOn w:val="HeadingBase"/>
    <w:link w:val="TitleChar"/>
    <w:qFormat/>
    <w:rsid w:val="00AF160B"/>
    <w:pPr>
      <w:spacing w:before="5040"/>
      <w:jc w:val="center"/>
    </w:pPr>
    <w:rPr>
      <w:sz w:val="48"/>
      <w:szCs w:val="72"/>
      <w:lang w:val="en-US"/>
    </w:rPr>
  </w:style>
  <w:style w:type="character" w:customStyle="1" w:styleId="TitleChar">
    <w:name w:val="Title Char"/>
    <w:basedOn w:val="DefaultParagraphFont"/>
    <w:link w:val="Title"/>
    <w:rsid w:val="00AF16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160B"/>
    <w:pPr>
      <w:tabs>
        <w:tab w:val="left" w:pos="3600"/>
        <w:tab w:val="left" w:pos="3958"/>
      </w:tabs>
    </w:pPr>
  </w:style>
  <w:style w:type="paragraph" w:styleId="List">
    <w:name w:val="List"/>
    <w:basedOn w:val="BodyText"/>
    <w:next w:val="BodyText"/>
    <w:rsid w:val="00AF160B"/>
    <w:pPr>
      <w:tabs>
        <w:tab w:val="left" w:pos="340"/>
      </w:tabs>
      <w:spacing w:before="60" w:after="60"/>
      <w:ind w:left="340" w:hanging="340"/>
    </w:pPr>
  </w:style>
  <w:style w:type="paragraph" w:customStyle="1" w:styleId="Note">
    <w:name w:val="Note"/>
    <w:basedOn w:val="BodyText"/>
    <w:rsid w:val="00AF16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160B"/>
    <w:pPr>
      <w:framePr w:wrap="auto" w:hAnchor="text" w:y="6049"/>
    </w:pPr>
    <w:rPr>
      <w:color w:val="000000"/>
      <w:sz w:val="40"/>
    </w:rPr>
  </w:style>
  <w:style w:type="paragraph" w:customStyle="1" w:styleId="TOCTitle">
    <w:name w:val="TOCTitle"/>
    <w:basedOn w:val="Heading1"/>
    <w:rsid w:val="00AF160B"/>
    <w:pPr>
      <w:spacing w:after="240"/>
      <w:jc w:val="center"/>
      <w:outlineLvl w:val="9"/>
    </w:pPr>
    <w:rPr>
      <w:caps/>
    </w:rPr>
  </w:style>
  <w:style w:type="paragraph" w:customStyle="1" w:styleId="Version">
    <w:name w:val="Version"/>
    <w:rsid w:val="00AF16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160B"/>
    <w:pPr>
      <w:keepNext w:val="0"/>
      <w:tabs>
        <w:tab w:val="right" w:pos="4176"/>
      </w:tabs>
      <w:ind w:left="198" w:hanging="198"/>
    </w:pPr>
    <w:rPr>
      <w:rFonts w:ascii="Garamond" w:hAnsi="Garamond"/>
    </w:rPr>
  </w:style>
  <w:style w:type="paragraph" w:styleId="IndexHeading">
    <w:name w:val="index heading"/>
    <w:basedOn w:val="Normal"/>
    <w:next w:val="Index1"/>
    <w:semiHidden/>
    <w:rsid w:val="00AF160B"/>
    <w:pPr>
      <w:spacing w:before="120" w:after="120"/>
    </w:pPr>
    <w:rPr>
      <w:rFonts w:ascii="Arial" w:hAnsi="Arial"/>
      <w:b/>
      <w:color w:val="918585"/>
      <w:sz w:val="24"/>
    </w:rPr>
  </w:style>
  <w:style w:type="paragraph" w:styleId="Header">
    <w:name w:val="header"/>
    <w:basedOn w:val="Normal"/>
    <w:link w:val="HeaderChar"/>
    <w:rsid w:val="00AF16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160B"/>
    <w:rPr>
      <w:rFonts w:ascii="Times New Roman" w:eastAsia="Times New Roman" w:hAnsi="Times New Roman" w:cs="Times New Roman"/>
      <w:sz w:val="16"/>
      <w:szCs w:val="20"/>
      <w:lang w:val="en-GB" w:eastAsia="en-US"/>
    </w:rPr>
  </w:style>
  <w:style w:type="paragraph" w:customStyle="1" w:styleId="Chapter">
    <w:name w:val="Chapter"/>
    <w:basedOn w:val="Normal"/>
    <w:rsid w:val="00AF160B"/>
    <w:pPr>
      <w:spacing w:before="240"/>
    </w:pPr>
    <w:rPr>
      <w:rFonts w:ascii="Times New Roman" w:hAnsi="Times New Roman"/>
      <w:smallCaps/>
      <w:spacing w:val="80"/>
      <w:sz w:val="28"/>
    </w:rPr>
  </w:style>
  <w:style w:type="paragraph" w:customStyle="1" w:styleId="InChapter">
    <w:name w:val="InChapter"/>
    <w:basedOn w:val="Heading3"/>
    <w:rsid w:val="00AF160B"/>
    <w:pPr>
      <w:spacing w:after="240"/>
      <w:outlineLvl w:val="9"/>
    </w:pPr>
    <w:rPr>
      <w:noProof/>
    </w:rPr>
  </w:style>
  <w:style w:type="paragraph" w:styleId="Index2">
    <w:name w:val="index 2"/>
    <w:basedOn w:val="Normal"/>
    <w:next w:val="Normal"/>
    <w:semiHidden/>
    <w:rsid w:val="00AF160B"/>
    <w:pPr>
      <w:tabs>
        <w:tab w:val="right" w:pos="4176"/>
      </w:tabs>
      <w:ind w:left="568" w:hanging="284"/>
    </w:pPr>
    <w:rPr>
      <w:rFonts w:ascii="Garamond" w:hAnsi="Garamond"/>
    </w:rPr>
  </w:style>
  <w:style w:type="paragraph" w:customStyle="1" w:styleId="Byline">
    <w:name w:val="Byline"/>
    <w:rsid w:val="00AF16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160B"/>
    <w:pPr>
      <w:tabs>
        <w:tab w:val="clear" w:pos="3600"/>
        <w:tab w:val="clear" w:pos="3958"/>
      </w:tabs>
      <w:jc w:val="right"/>
    </w:pPr>
  </w:style>
  <w:style w:type="character" w:styleId="Emphasis">
    <w:name w:val="Emphasis"/>
    <w:basedOn w:val="DefaultParagraphFont"/>
    <w:qFormat/>
    <w:rsid w:val="00AF160B"/>
    <w:rPr>
      <w:i/>
    </w:rPr>
  </w:style>
  <w:style w:type="paragraph" w:styleId="Caption">
    <w:name w:val="caption"/>
    <w:basedOn w:val="BodyText"/>
    <w:next w:val="Normal"/>
    <w:qFormat/>
    <w:rsid w:val="00AF160B"/>
    <w:pPr>
      <w:framePr w:w="2268" w:hSpace="181" w:vSpace="181" w:wrap="around" w:vAnchor="text" w:hAnchor="page" w:x="1135" w:y="285" w:anchorLock="1"/>
    </w:pPr>
    <w:rPr>
      <w:i/>
    </w:rPr>
  </w:style>
  <w:style w:type="paragraph" w:customStyle="1" w:styleId="MiniTOCTitle">
    <w:name w:val="MiniTOCTitle"/>
    <w:basedOn w:val="Heading4"/>
    <w:rsid w:val="00AF160B"/>
    <w:pPr>
      <w:spacing w:before="240"/>
      <w:outlineLvl w:val="9"/>
    </w:pPr>
    <w:rPr>
      <w:noProof/>
      <w:sz w:val="24"/>
    </w:rPr>
  </w:style>
  <w:style w:type="paragraph" w:customStyle="1" w:styleId="MiniTOCItem">
    <w:name w:val="MiniTOCItem"/>
    <w:basedOn w:val="ListBullet"/>
    <w:rsid w:val="00AF160B"/>
    <w:pPr>
      <w:numPr>
        <w:numId w:val="0"/>
      </w:numPr>
      <w:tabs>
        <w:tab w:val="right" w:leader="dot" w:pos="6521"/>
      </w:tabs>
      <w:spacing w:before="0" w:after="0"/>
    </w:pPr>
  </w:style>
  <w:style w:type="paragraph" w:customStyle="1" w:styleId="TOFTitle">
    <w:name w:val="TOFTitle"/>
    <w:basedOn w:val="TOCTitle"/>
    <w:rsid w:val="00AF160B"/>
  </w:style>
  <w:style w:type="paragraph" w:styleId="TableofFigures">
    <w:name w:val="table of figures"/>
    <w:basedOn w:val="Normal"/>
    <w:next w:val="Normal"/>
    <w:semiHidden/>
    <w:rsid w:val="00AF160B"/>
    <w:pPr>
      <w:tabs>
        <w:tab w:val="right" w:leader="dot" w:pos="9072"/>
      </w:tabs>
      <w:ind w:left="970" w:hanging="403"/>
    </w:pPr>
    <w:rPr>
      <w:rFonts w:ascii="Times New Roman" w:hAnsi="Times New Roman"/>
      <w:b/>
    </w:rPr>
  </w:style>
  <w:style w:type="paragraph" w:styleId="ListNumber">
    <w:name w:val="List Number"/>
    <w:basedOn w:val="List"/>
    <w:rsid w:val="00AF160B"/>
    <w:pPr>
      <w:numPr>
        <w:numId w:val="15"/>
      </w:numPr>
      <w:tabs>
        <w:tab w:val="clear" w:pos="340"/>
      </w:tabs>
    </w:pPr>
  </w:style>
  <w:style w:type="character" w:customStyle="1" w:styleId="WingdingSymbols">
    <w:name w:val="Wingding Symbols"/>
    <w:rsid w:val="00AF160B"/>
    <w:rPr>
      <w:rFonts w:ascii="Wingdings" w:hAnsi="Wingdings"/>
    </w:rPr>
  </w:style>
  <w:style w:type="paragraph" w:customStyle="1" w:styleId="TableHeading">
    <w:name w:val="Table Heading"/>
    <w:basedOn w:val="HeadingBase"/>
    <w:rsid w:val="00AF160B"/>
    <w:pPr>
      <w:keepLines/>
      <w:pBdr>
        <w:bottom w:val="single" w:sz="6" w:space="1" w:color="918585"/>
      </w:pBdr>
      <w:spacing w:before="240"/>
    </w:pPr>
  </w:style>
  <w:style w:type="character" w:customStyle="1" w:styleId="HotSpot">
    <w:name w:val="HotSpot"/>
    <w:rsid w:val="00AF160B"/>
    <w:rPr>
      <w:color w:val="0033CC"/>
      <w:u w:val="none"/>
    </w:rPr>
  </w:style>
  <w:style w:type="paragraph" w:customStyle="1" w:styleId="BodyTextRight">
    <w:name w:val="Body Text Right"/>
    <w:basedOn w:val="BodyText"/>
    <w:rsid w:val="00AF160B"/>
    <w:pPr>
      <w:spacing w:before="0" w:after="0"/>
      <w:jc w:val="right"/>
    </w:pPr>
  </w:style>
  <w:style w:type="paragraph" w:styleId="Index3">
    <w:name w:val="index 3"/>
    <w:basedOn w:val="ListNumber2"/>
    <w:next w:val="Normal"/>
    <w:semiHidden/>
    <w:rsid w:val="00AF160B"/>
    <w:pPr>
      <w:numPr>
        <w:numId w:val="0"/>
      </w:numPr>
      <w:tabs>
        <w:tab w:val="right" w:leader="dot" w:pos="4176"/>
      </w:tabs>
    </w:pPr>
  </w:style>
  <w:style w:type="paragraph" w:styleId="ListNumber2">
    <w:name w:val="List Number 2"/>
    <w:basedOn w:val="List2"/>
    <w:rsid w:val="00AF160B"/>
    <w:pPr>
      <w:numPr>
        <w:numId w:val="10"/>
      </w:numPr>
      <w:tabs>
        <w:tab w:val="clear" w:pos="1060"/>
      </w:tabs>
    </w:pPr>
  </w:style>
  <w:style w:type="paragraph" w:customStyle="1" w:styleId="MarginNote">
    <w:name w:val="Margin Note"/>
    <w:basedOn w:val="BodyText"/>
    <w:rsid w:val="00AF16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16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16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160B"/>
    <w:rPr>
      <w:sz w:val="32"/>
    </w:rPr>
  </w:style>
  <w:style w:type="paragraph" w:customStyle="1" w:styleId="HeadingProcedure">
    <w:name w:val="Heading Procedure"/>
    <w:basedOn w:val="HeadingBase"/>
    <w:next w:val="Normal"/>
    <w:rsid w:val="00AF160B"/>
    <w:pPr>
      <w:tabs>
        <w:tab w:val="left" w:pos="0"/>
      </w:tabs>
      <w:spacing w:before="120" w:after="60"/>
    </w:pPr>
    <w:rPr>
      <w:i/>
      <w:color w:val="918585"/>
      <w:sz w:val="22"/>
    </w:rPr>
  </w:style>
  <w:style w:type="paragraph" w:customStyle="1" w:styleId="TableBodyText">
    <w:name w:val="Table Body Text"/>
    <w:basedOn w:val="BodyText"/>
    <w:rsid w:val="00AF160B"/>
    <w:pPr>
      <w:spacing w:before="60" w:after="60"/>
    </w:pPr>
  </w:style>
  <w:style w:type="paragraph" w:styleId="ListContinue">
    <w:name w:val="List Continue"/>
    <w:basedOn w:val="List"/>
    <w:rsid w:val="00AF160B"/>
    <w:pPr>
      <w:ind w:firstLine="0"/>
    </w:pPr>
  </w:style>
  <w:style w:type="paragraph" w:customStyle="1" w:styleId="ListNote">
    <w:name w:val="List Note"/>
    <w:basedOn w:val="List"/>
    <w:rsid w:val="00AF160B"/>
    <w:pPr>
      <w:pBdr>
        <w:top w:val="single" w:sz="6" w:space="2" w:color="918585"/>
        <w:bottom w:val="single" w:sz="6" w:space="2" w:color="918585"/>
      </w:pBdr>
      <w:tabs>
        <w:tab w:val="left" w:pos="1021"/>
      </w:tabs>
      <w:ind w:firstLine="0"/>
    </w:pPr>
  </w:style>
  <w:style w:type="paragraph" w:customStyle="1" w:styleId="Warning">
    <w:name w:val="Warning"/>
    <w:basedOn w:val="BodyText"/>
    <w:rsid w:val="00AF160B"/>
    <w:pPr>
      <w:shd w:val="clear" w:color="auto" w:fill="D9D9D9"/>
      <w:tabs>
        <w:tab w:val="left" w:pos="992"/>
      </w:tabs>
      <w:ind w:left="119" w:right="119"/>
    </w:pPr>
    <w:rPr>
      <w:sz w:val="20"/>
    </w:rPr>
  </w:style>
  <w:style w:type="paragraph" w:customStyle="1" w:styleId="MarginIcons">
    <w:name w:val="Margin Icons"/>
    <w:basedOn w:val="BodyText"/>
    <w:rsid w:val="00AF16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160B"/>
    <w:rPr>
      <w:rFonts w:ascii="Courier New" w:hAnsi="Courier New"/>
    </w:rPr>
  </w:style>
  <w:style w:type="paragraph" w:customStyle="1" w:styleId="NoteBullet">
    <w:name w:val="Note Bullet"/>
    <w:basedOn w:val="Note"/>
    <w:rsid w:val="00AF160B"/>
    <w:pPr>
      <w:tabs>
        <w:tab w:val="clear" w:pos="680"/>
      </w:tabs>
      <w:spacing w:before="60" w:after="60"/>
    </w:pPr>
  </w:style>
  <w:style w:type="paragraph" w:customStyle="1" w:styleId="SubHeading2">
    <w:name w:val="SubHeading2"/>
    <w:basedOn w:val="HeadingBase"/>
    <w:rsid w:val="00AF160B"/>
    <w:pPr>
      <w:spacing w:before="240" w:after="60"/>
    </w:pPr>
    <w:rPr>
      <w:sz w:val="20"/>
    </w:rPr>
  </w:style>
  <w:style w:type="paragraph" w:customStyle="1" w:styleId="SubHeading1">
    <w:name w:val="SubHeading1"/>
    <w:basedOn w:val="HeadingBase"/>
    <w:rsid w:val="00AF160B"/>
    <w:pPr>
      <w:spacing w:before="240" w:after="60"/>
    </w:pPr>
    <w:rPr>
      <w:color w:val="918585"/>
      <w:sz w:val="22"/>
    </w:rPr>
  </w:style>
  <w:style w:type="paragraph" w:customStyle="1" w:styleId="SideHeading">
    <w:name w:val="Side Heading"/>
    <w:basedOn w:val="HeadingBase"/>
    <w:rsid w:val="00AF16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160B"/>
    <w:pPr>
      <w:tabs>
        <w:tab w:val="num" w:pos="360"/>
      </w:tabs>
    </w:pPr>
  </w:style>
  <w:style w:type="paragraph" w:styleId="PlainText">
    <w:name w:val="Plain Text"/>
    <w:basedOn w:val="Normal"/>
    <w:link w:val="PlainTextChar"/>
    <w:rsid w:val="00AF160B"/>
    <w:rPr>
      <w:sz w:val="20"/>
    </w:rPr>
  </w:style>
  <w:style w:type="character" w:customStyle="1" w:styleId="PlainTextChar">
    <w:name w:val="Plain Text Char"/>
    <w:basedOn w:val="DefaultParagraphFont"/>
    <w:link w:val="PlainText"/>
    <w:rsid w:val="00AF160B"/>
    <w:rPr>
      <w:rFonts w:ascii="Courier New" w:eastAsia="Times New Roman" w:hAnsi="Courier New" w:cs="Times New Roman"/>
      <w:sz w:val="20"/>
      <w:szCs w:val="20"/>
      <w:lang w:eastAsia="en-US"/>
    </w:rPr>
  </w:style>
  <w:style w:type="character" w:customStyle="1" w:styleId="MenuOption">
    <w:name w:val="Menu Option"/>
    <w:basedOn w:val="DefaultParagraphFont"/>
    <w:rsid w:val="00AF160B"/>
    <w:rPr>
      <w:b/>
      <w:smallCaps/>
    </w:rPr>
  </w:style>
  <w:style w:type="paragraph" w:customStyle="1" w:styleId="TableListNumber">
    <w:name w:val="Table List Number"/>
    <w:basedOn w:val="ListNumber"/>
    <w:rsid w:val="00AF160B"/>
    <w:pPr>
      <w:numPr>
        <w:numId w:val="0"/>
      </w:numPr>
    </w:pPr>
  </w:style>
  <w:style w:type="paragraph" w:styleId="TOC4">
    <w:name w:val="toc 4"/>
    <w:basedOn w:val="TOCBase"/>
    <w:next w:val="Normal"/>
    <w:semiHidden/>
    <w:rsid w:val="00AF160B"/>
    <w:pPr>
      <w:tabs>
        <w:tab w:val="right" w:leader="dot" w:pos="9071"/>
      </w:tabs>
      <w:ind w:left="1701"/>
    </w:pPr>
  </w:style>
  <w:style w:type="paragraph" w:customStyle="1" w:styleId="ListAlpha">
    <w:name w:val="List Alpha"/>
    <w:basedOn w:val="List"/>
    <w:rsid w:val="00AF160B"/>
    <w:pPr>
      <w:numPr>
        <w:numId w:val="9"/>
      </w:numPr>
    </w:pPr>
  </w:style>
  <w:style w:type="paragraph" w:customStyle="1" w:styleId="ListAlpha2">
    <w:name w:val="List Alpha 2"/>
    <w:basedOn w:val="List2"/>
    <w:rsid w:val="00AF160B"/>
    <w:pPr>
      <w:numPr>
        <w:numId w:val="8"/>
      </w:numPr>
    </w:pPr>
  </w:style>
  <w:style w:type="paragraph" w:styleId="List2">
    <w:name w:val="List 2"/>
    <w:basedOn w:val="BodyText"/>
    <w:rsid w:val="00AF160B"/>
    <w:pPr>
      <w:tabs>
        <w:tab w:val="left" w:pos="680"/>
      </w:tabs>
      <w:spacing w:before="60" w:after="60"/>
      <w:ind w:left="680" w:hanging="340"/>
    </w:pPr>
  </w:style>
  <w:style w:type="paragraph" w:styleId="List3">
    <w:name w:val="List 3"/>
    <w:basedOn w:val="BodyText"/>
    <w:rsid w:val="00AF160B"/>
    <w:pPr>
      <w:tabs>
        <w:tab w:val="left" w:pos="1021"/>
      </w:tabs>
      <w:spacing w:before="60" w:after="60"/>
      <w:ind w:left="1020" w:hanging="340"/>
    </w:pPr>
  </w:style>
  <w:style w:type="paragraph" w:styleId="List4">
    <w:name w:val="List 4"/>
    <w:basedOn w:val="BodyText"/>
    <w:rsid w:val="00AF160B"/>
    <w:pPr>
      <w:tabs>
        <w:tab w:val="left" w:pos="1361"/>
      </w:tabs>
      <w:spacing w:before="60" w:after="60"/>
      <w:ind w:left="1361" w:hanging="340"/>
    </w:pPr>
  </w:style>
  <w:style w:type="paragraph" w:styleId="List5">
    <w:name w:val="List 5"/>
    <w:basedOn w:val="BodyText"/>
    <w:rsid w:val="00AF160B"/>
    <w:pPr>
      <w:tabs>
        <w:tab w:val="left" w:pos="1701"/>
      </w:tabs>
      <w:spacing w:before="60" w:after="60"/>
      <w:ind w:left="1701" w:hanging="340"/>
    </w:pPr>
  </w:style>
  <w:style w:type="paragraph" w:styleId="ListBullet3">
    <w:name w:val="List Bullet 3"/>
    <w:basedOn w:val="List3"/>
    <w:rsid w:val="00AF160B"/>
    <w:pPr>
      <w:numPr>
        <w:numId w:val="14"/>
      </w:numPr>
      <w:tabs>
        <w:tab w:val="clear" w:pos="1021"/>
      </w:tabs>
      <w:ind w:left="1037" w:hanging="357"/>
    </w:pPr>
  </w:style>
  <w:style w:type="paragraph" w:styleId="ListBullet4">
    <w:name w:val="List Bullet 4"/>
    <w:basedOn w:val="List4"/>
    <w:rsid w:val="00AF160B"/>
    <w:pPr>
      <w:numPr>
        <w:numId w:val="3"/>
      </w:numPr>
      <w:tabs>
        <w:tab w:val="clear" w:pos="1361"/>
      </w:tabs>
    </w:pPr>
  </w:style>
  <w:style w:type="paragraph" w:styleId="ListBullet5">
    <w:name w:val="List Bullet 5"/>
    <w:basedOn w:val="List5"/>
    <w:rsid w:val="00AF160B"/>
    <w:pPr>
      <w:numPr>
        <w:numId w:val="4"/>
      </w:numPr>
    </w:pPr>
  </w:style>
  <w:style w:type="paragraph" w:styleId="ListContinue2">
    <w:name w:val="List Continue 2"/>
    <w:basedOn w:val="List2"/>
    <w:rsid w:val="00AF160B"/>
    <w:pPr>
      <w:ind w:firstLine="0"/>
    </w:pPr>
  </w:style>
  <w:style w:type="paragraph" w:styleId="ListContinue3">
    <w:name w:val="List Continue 3"/>
    <w:basedOn w:val="List3"/>
    <w:rsid w:val="00AF160B"/>
    <w:pPr>
      <w:ind w:left="1021" w:firstLine="0"/>
    </w:pPr>
  </w:style>
  <w:style w:type="paragraph" w:styleId="ListContinue4">
    <w:name w:val="List Continue 4"/>
    <w:basedOn w:val="List4"/>
    <w:rsid w:val="00AF160B"/>
    <w:pPr>
      <w:ind w:firstLine="0"/>
    </w:pPr>
  </w:style>
  <w:style w:type="paragraph" w:styleId="ListContinue5">
    <w:name w:val="List Continue 5"/>
    <w:basedOn w:val="List5"/>
    <w:rsid w:val="00AF160B"/>
    <w:pPr>
      <w:ind w:firstLine="0"/>
    </w:pPr>
  </w:style>
  <w:style w:type="paragraph" w:styleId="ListNumber3">
    <w:name w:val="List Number 3"/>
    <w:basedOn w:val="List3"/>
    <w:rsid w:val="00AF160B"/>
    <w:pPr>
      <w:numPr>
        <w:numId w:val="5"/>
      </w:numPr>
    </w:pPr>
  </w:style>
  <w:style w:type="paragraph" w:styleId="ListNumber4">
    <w:name w:val="List Number 4"/>
    <w:basedOn w:val="List4"/>
    <w:rsid w:val="00AF160B"/>
    <w:pPr>
      <w:numPr>
        <w:numId w:val="6"/>
      </w:numPr>
    </w:pPr>
  </w:style>
  <w:style w:type="paragraph" w:styleId="ListNumber5">
    <w:name w:val="List Number 5"/>
    <w:basedOn w:val="List5"/>
    <w:rsid w:val="00AF160B"/>
    <w:pPr>
      <w:numPr>
        <w:numId w:val="7"/>
      </w:numPr>
    </w:pPr>
  </w:style>
  <w:style w:type="paragraph" w:styleId="BlockText">
    <w:name w:val="Block Text"/>
    <w:basedOn w:val="Normal"/>
    <w:rsid w:val="00AF160B"/>
    <w:pPr>
      <w:spacing w:after="120"/>
      <w:ind w:left="1440" w:right="1440"/>
    </w:pPr>
  </w:style>
  <w:style w:type="character" w:customStyle="1" w:styleId="Subscript">
    <w:name w:val="Subscript"/>
    <w:basedOn w:val="DefaultParagraphFont"/>
    <w:rsid w:val="00AF160B"/>
    <w:rPr>
      <w:sz w:val="16"/>
      <w:vertAlign w:val="subscript"/>
    </w:rPr>
  </w:style>
  <w:style w:type="character" w:customStyle="1" w:styleId="Superscript">
    <w:name w:val="Superscript"/>
    <w:basedOn w:val="DefaultParagraphFont"/>
    <w:rsid w:val="00AF160B"/>
    <w:rPr>
      <w:sz w:val="16"/>
      <w:vertAlign w:val="superscript"/>
    </w:rPr>
  </w:style>
  <w:style w:type="character" w:customStyle="1" w:styleId="Symbols">
    <w:name w:val="Symbols"/>
    <w:basedOn w:val="DefaultParagraphFont"/>
    <w:rsid w:val="00AF160B"/>
    <w:rPr>
      <w:rFonts w:ascii="Symbol" w:hAnsi="Symbol"/>
    </w:rPr>
  </w:style>
  <w:style w:type="character" w:customStyle="1" w:styleId="MenuOptions">
    <w:name w:val="Menu Options"/>
    <w:basedOn w:val="DefaultParagraphFont"/>
    <w:rsid w:val="00AF160B"/>
    <w:rPr>
      <w:rFonts w:ascii="Arial Narrow" w:hAnsi="Arial Narrow"/>
      <w:smallCaps/>
    </w:rPr>
  </w:style>
  <w:style w:type="character" w:customStyle="1" w:styleId="Buttons">
    <w:name w:val="Buttons"/>
    <w:basedOn w:val="DefaultParagraphFont"/>
    <w:rsid w:val="00AF160B"/>
    <w:rPr>
      <w:b/>
    </w:rPr>
  </w:style>
  <w:style w:type="character" w:customStyle="1" w:styleId="Underlined">
    <w:name w:val="Underlined"/>
    <w:basedOn w:val="DefaultParagraphFont"/>
    <w:rsid w:val="00AF160B"/>
    <w:rPr>
      <w:u w:val="single"/>
    </w:rPr>
  </w:style>
  <w:style w:type="paragraph" w:customStyle="1" w:styleId="TableBodyTextRight">
    <w:name w:val="Table Body Text Right"/>
    <w:basedOn w:val="TableBodyText"/>
    <w:rsid w:val="00AF160B"/>
    <w:pPr>
      <w:widowControl w:val="0"/>
      <w:autoSpaceDE w:val="0"/>
      <w:autoSpaceDN w:val="0"/>
      <w:adjustRightInd w:val="0"/>
      <w:jc w:val="right"/>
    </w:pPr>
    <w:rPr>
      <w:rFonts w:cs="Arial"/>
      <w:szCs w:val="18"/>
    </w:rPr>
  </w:style>
  <w:style w:type="paragraph" w:customStyle="1" w:styleId="CopyrightText">
    <w:name w:val="Copyright Text"/>
    <w:basedOn w:val="BodyText"/>
    <w:rsid w:val="00AF160B"/>
    <w:rPr>
      <w:sz w:val="18"/>
    </w:rPr>
  </w:style>
  <w:style w:type="paragraph" w:customStyle="1" w:styleId="BodySmallRight">
    <w:name w:val="Body Small Right"/>
    <w:basedOn w:val="BodyTextRight"/>
    <w:rsid w:val="00AF160B"/>
    <w:rPr>
      <w:sz w:val="18"/>
      <w:szCs w:val="18"/>
    </w:rPr>
  </w:style>
  <w:style w:type="paragraph" w:customStyle="1" w:styleId="MarginEdition">
    <w:name w:val="Margin Edition"/>
    <w:basedOn w:val="MarginNote"/>
    <w:rsid w:val="00AF160B"/>
    <w:pPr>
      <w:spacing w:before="0" w:after="0"/>
    </w:pPr>
    <w:rPr>
      <w:rFonts w:ascii="Times New Roman" w:hAnsi="Times New Roman"/>
      <w:color w:val="999999"/>
    </w:rPr>
  </w:style>
  <w:style w:type="paragraph" w:customStyle="1" w:styleId="Spacer">
    <w:name w:val="Spacer"/>
    <w:basedOn w:val="Normal"/>
    <w:rsid w:val="00AF160B"/>
    <w:rPr>
      <w:sz w:val="2"/>
      <w:szCs w:val="2"/>
    </w:rPr>
  </w:style>
  <w:style w:type="character" w:customStyle="1" w:styleId="Small">
    <w:name w:val="Small"/>
    <w:basedOn w:val="DefaultParagraphFont"/>
    <w:rsid w:val="00AF160B"/>
    <w:rPr>
      <w:sz w:val="16"/>
    </w:rPr>
  </w:style>
  <w:style w:type="paragraph" w:customStyle="1" w:styleId="WideTable">
    <w:name w:val="Wide Table"/>
    <w:basedOn w:val="Normal"/>
    <w:rsid w:val="00AF160B"/>
    <w:pPr>
      <w:ind w:left="-1418"/>
    </w:pPr>
    <w:rPr>
      <w:sz w:val="2"/>
      <w:szCs w:val="2"/>
    </w:rPr>
  </w:style>
  <w:style w:type="character" w:styleId="PageNumber">
    <w:name w:val="page number"/>
    <w:basedOn w:val="DefaultParagraphFont"/>
    <w:rsid w:val="00AF160B"/>
  </w:style>
  <w:style w:type="paragraph" w:styleId="Quote">
    <w:name w:val="Quote"/>
    <w:basedOn w:val="Heading1"/>
    <w:link w:val="QuoteChar"/>
    <w:qFormat/>
    <w:rsid w:val="00AF160B"/>
    <w:rPr>
      <w:b w:val="0"/>
      <w:sz w:val="72"/>
      <w:szCs w:val="72"/>
      <w:lang w:val="en-NZ"/>
    </w:rPr>
  </w:style>
  <w:style w:type="character" w:customStyle="1" w:styleId="QuoteChar">
    <w:name w:val="Quote Char"/>
    <w:basedOn w:val="DefaultParagraphFont"/>
    <w:link w:val="Quote"/>
    <w:rsid w:val="00AF16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160B"/>
    <w:pPr>
      <w:pageBreakBefore/>
    </w:pPr>
  </w:style>
  <w:style w:type="paragraph" w:customStyle="1" w:styleId="Border">
    <w:name w:val="Border"/>
    <w:basedOn w:val="Normal"/>
    <w:qFormat/>
    <w:rsid w:val="00AF16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160B"/>
    <w:rPr>
      <w:b/>
      <w:bCs/>
      <w:i/>
      <w:iCs/>
      <w:color w:val="auto"/>
    </w:rPr>
  </w:style>
  <w:style w:type="paragraph" w:styleId="IntenseQuote">
    <w:name w:val="Intense Quote"/>
    <w:basedOn w:val="Normal"/>
    <w:next w:val="Normal"/>
    <w:link w:val="IntenseQuoteChar"/>
    <w:uiPriority w:val="30"/>
    <w:qFormat/>
    <w:rsid w:val="00AF16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16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160B"/>
    <w:rPr>
      <w:smallCaps/>
      <w:color w:val="auto"/>
      <w:u w:val="single"/>
    </w:rPr>
  </w:style>
  <w:style w:type="character" w:styleId="IntenseReference">
    <w:name w:val="Intense Reference"/>
    <w:basedOn w:val="DefaultParagraphFont"/>
    <w:uiPriority w:val="32"/>
    <w:qFormat/>
    <w:rsid w:val="00AF160B"/>
    <w:rPr>
      <w:b/>
      <w:bCs/>
      <w:smallCaps/>
      <w:color w:val="auto"/>
      <w:spacing w:val="5"/>
      <w:u w:val="single"/>
    </w:rPr>
  </w:style>
  <w:style w:type="paragraph" w:customStyle="1" w:styleId="2ColumnHeading">
    <w:name w:val="2Column Heading"/>
    <w:basedOn w:val="BodyText"/>
    <w:qFormat/>
    <w:rsid w:val="00AF160B"/>
    <w:pPr>
      <w:spacing w:after="60"/>
      <w:ind w:left="-2268"/>
    </w:pPr>
    <w:rPr>
      <w:b/>
    </w:rPr>
  </w:style>
  <w:style w:type="paragraph" w:customStyle="1" w:styleId="Heading1TOC">
    <w:name w:val="Heading1 TOC"/>
    <w:basedOn w:val="Normal"/>
    <w:qFormat/>
    <w:rsid w:val="00AF160B"/>
    <w:pPr>
      <w:spacing w:before="240" w:after="120"/>
    </w:pPr>
    <w:rPr>
      <w:rFonts w:ascii="Times New Roman" w:hAnsi="Times New Roman"/>
      <w:b/>
      <w:sz w:val="32"/>
    </w:rPr>
  </w:style>
  <w:style w:type="paragraph" w:customStyle="1" w:styleId="Heading2TOC">
    <w:name w:val="Heading2 TOC"/>
    <w:basedOn w:val="Normal"/>
    <w:qFormat/>
    <w:rsid w:val="00AF160B"/>
    <w:pPr>
      <w:spacing w:before="240" w:after="60"/>
    </w:pPr>
    <w:rPr>
      <w:rFonts w:ascii="Times New Roman" w:hAnsi="Times New Roman"/>
      <w:b/>
      <w:sz w:val="28"/>
    </w:rPr>
  </w:style>
  <w:style w:type="character" w:customStyle="1" w:styleId="Underline">
    <w:name w:val="Underline"/>
    <w:basedOn w:val="DefaultParagraphFont"/>
    <w:qFormat/>
    <w:rsid w:val="00AF160B"/>
    <w:rPr>
      <w:u w:val="single"/>
    </w:rPr>
  </w:style>
  <w:style w:type="character" w:customStyle="1" w:styleId="BoldandItalics">
    <w:name w:val="Bold and Italics"/>
    <w:qFormat/>
    <w:rsid w:val="00AF160B"/>
    <w:rPr>
      <w:b/>
      <w:i/>
      <w:u w:val="none"/>
    </w:rPr>
  </w:style>
  <w:style w:type="paragraph" w:styleId="BalloonText">
    <w:name w:val="Balloon Text"/>
    <w:basedOn w:val="Normal"/>
    <w:link w:val="BalloonTextChar"/>
    <w:rsid w:val="00AF160B"/>
    <w:rPr>
      <w:rFonts w:ascii="Tahoma" w:hAnsi="Tahoma" w:cs="Tahoma"/>
      <w:sz w:val="16"/>
      <w:szCs w:val="16"/>
    </w:rPr>
  </w:style>
  <w:style w:type="character" w:customStyle="1" w:styleId="BalloonTextChar">
    <w:name w:val="Balloon Text Char"/>
    <w:basedOn w:val="DefaultParagraphFont"/>
    <w:link w:val="BalloonText"/>
    <w:rsid w:val="00AF16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16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16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160B"/>
    <w:rPr>
      <w:b/>
      <w:color w:val="660033"/>
      <w:spacing w:val="0"/>
    </w:rPr>
  </w:style>
  <w:style w:type="paragraph" w:customStyle="1" w:styleId="Nameditemlist">
    <w:name w:val="Named item list"/>
    <w:basedOn w:val="BodyText"/>
    <w:qFormat/>
    <w:rsid w:val="00AF160B"/>
    <w:pPr>
      <w:tabs>
        <w:tab w:val="left" w:pos="2835"/>
      </w:tabs>
      <w:ind w:left="2835" w:hanging="2835"/>
    </w:pPr>
  </w:style>
  <w:style w:type="paragraph" w:customStyle="1" w:styleId="BodyTextnopadding">
    <w:name w:val="Body Text no padding"/>
    <w:basedOn w:val="BodyText"/>
    <w:qFormat/>
    <w:rsid w:val="00AF160B"/>
    <w:pPr>
      <w:spacing w:before="0" w:after="0"/>
    </w:pPr>
  </w:style>
  <w:style w:type="paragraph" w:customStyle="1" w:styleId="BodyTextBold">
    <w:name w:val="Body Text Bold"/>
    <w:basedOn w:val="BodyText"/>
    <w:qFormat/>
    <w:rsid w:val="00AF160B"/>
    <w:rPr>
      <w:b/>
    </w:rPr>
  </w:style>
  <w:style w:type="character" w:styleId="Hyperlink">
    <w:name w:val="Hyperlink"/>
    <w:basedOn w:val="DefaultParagraphFont"/>
    <w:uiPriority w:val="99"/>
    <w:unhideWhenUsed/>
    <w:rsid w:val="001E23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1291</Words>
  <Characters>8136</Characters>
  <Application>Microsoft Office Word</Application>
  <DocSecurity>0</DocSecurity>
  <Lines>290</Lines>
  <Paragraphs>168</Paragraphs>
  <ScaleCrop>false</ScaleCrop>
  <Company>Author-it Software Corporation Ltd.</Company>
  <LinksUpToDate>false</LinksUpToDate>
  <CharactersWithSpaces>9259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MSS402020 Apply quick changeover procedures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2025-03-01T20:16:00Z</dcterms:created>
  <dcterms:modified xsi:type="dcterms:W3CDTF">2025-03-01T20:16:00Z</dcterms:modified>
</cp:coreProperties>
</file>