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EBF" w:rsidP="003D4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MSS40122 Certificate IV in Sustainable Operations</w:t>
      </w:r>
      <w:r>
        <w:fldChar w:fldCharType="end"/>
      </w:r>
    </w:p>
    <w:p w:rsidR="003D4EBF" w:rsidP="003D4EBF">
      <w:pPr>
        <w:pStyle w:val="Version"/>
        <w:sectPr w:rsidSect="00E12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7C8" w:rsidP="00E127C8">
      <w:pPr>
        <w:pStyle w:val="SuperHeading"/>
      </w:pPr>
      <w:r w:rsidRPr="00E127C8">
        <w:t>MSS40122 Certificate IV in Sustainable Operations</w:t>
      </w:r>
    </w:p>
    <w:p w:rsidR="00000000" w:rsidRPr="00E127C8" w:rsidP="00E127C8">
      <w:pPr>
        <w:pStyle w:val="Heading1"/>
      </w:pPr>
      <w:bookmarkStart w:id="1" w:name="O_1262661"/>
      <w:bookmarkEnd w:id="1"/>
      <w:r w:rsidRPr="00E127C8">
        <w:t>Modification History</w:t>
      </w:r>
    </w:p>
    <w:p w:rsidR="00000000" w:rsidRPr="00E127C8" w:rsidP="003D4EBF">
      <w:pPr>
        <w:pStyle w:val="BodyText"/>
      </w:pPr>
      <w:r w:rsidRPr="00E127C8">
        <w:t>Release 1. Supersedes and is not equivalent to MSS40118 Certificate IV in Sustainable Operations. Qualification code changed. Description changed. Packaging rules changed. Elective banks changed. Unit codes and titles updated.</w:t>
      </w:r>
      <w:r w:rsidRPr="00E127C8">
        <w:t xml:space="preserve"> Workplace outcome changed.</w:t>
      </w:r>
    </w:p>
    <w:p w:rsidR="00000000" w:rsidRPr="00E127C8" w:rsidP="00E127C8">
      <w:pPr>
        <w:pStyle w:val="Heading1"/>
      </w:pPr>
      <w:bookmarkStart w:id="2" w:name="O_1262662"/>
      <w:bookmarkEnd w:id="2"/>
      <w:r w:rsidRPr="00E127C8">
        <w:t>Qualification Description</w:t>
      </w:r>
    </w:p>
    <w:p w:rsidR="00000000" w:rsidRPr="00E127C8" w:rsidP="003D4EBF">
      <w:pPr>
        <w:pStyle w:val="BodyText"/>
      </w:pPr>
      <w:r w:rsidRPr="00E127C8">
        <w:t xml:space="preserve">This qualification specifies the skills and knowledge required to identify, implement and report on sustainability related initiatives within a section of a large enterprise, such as </w:t>
      </w:r>
      <w:r w:rsidRPr="00E127C8">
        <w:t xml:space="preserve">a defined work area, work team or stage of production, or across a small or medium enterprise. </w:t>
      </w:r>
    </w:p>
    <w:p w:rsidR="00000000" w:rsidRPr="00E127C8" w:rsidP="003D4EBF">
      <w:pPr>
        <w:pStyle w:val="BodyText"/>
      </w:pPr>
      <w:r w:rsidRPr="00E127C8">
        <w:t>It applies to job roles with a specific focus on sustainability, such as sustainability officer or sustainability project assistant, and to other roles that ass</w:t>
      </w:r>
      <w:r w:rsidRPr="00E127C8">
        <w:t xml:space="preserve">ist with implementation of sustainability, such as technical personnel, team leaders or senior operators. </w:t>
      </w:r>
    </w:p>
    <w:p w:rsidR="00000000" w:rsidRPr="00E127C8" w:rsidP="003D4EBF">
      <w:pPr>
        <w:pStyle w:val="BodyText"/>
      </w:pPr>
      <w:r w:rsidRPr="00E127C8">
        <w:t>The qualification provides specialist sustainability competencies to assist organisations to identify and implement initiatives to meet their sustain</w:t>
      </w:r>
      <w:r w:rsidRPr="00E127C8">
        <w:t xml:space="preserve">ability goals and to meet their obligations under sustainability related regulatory arrangements, government initiatives and voluntary standards and codes that may apply. </w:t>
      </w:r>
    </w:p>
    <w:p w:rsidR="00000000" w:rsidRPr="00E127C8" w:rsidP="003D4EBF">
      <w:pPr>
        <w:pStyle w:val="BodyText"/>
      </w:pPr>
      <w:r w:rsidRPr="00E127C8">
        <w:t>This qualification has no formal entry requirement due to the wide variety of sustai</w:t>
      </w:r>
      <w:r w:rsidRPr="00E127C8">
        <w:t>nability applications in industry. However, most enterprises will expect the learner to hold operational or technical skills and experience in a vocational field and the qualification is not recommended for direct entry from school.</w:t>
      </w:r>
    </w:p>
    <w:p w:rsidR="00000000" w:rsidRPr="00E127C8" w:rsidP="003D4EBF">
      <w:pPr>
        <w:pStyle w:val="BodyText"/>
      </w:pPr>
      <w:r w:rsidRPr="00E127C8">
        <w:t>No licensing, legislati</w:t>
      </w:r>
      <w:r w:rsidRPr="00E127C8">
        <w:t xml:space="preserve">ve or certification requirements apply to this qualification at the time of publication. </w:t>
      </w:r>
    </w:p>
    <w:p w:rsidR="00000000" w:rsidRPr="00E127C8" w:rsidP="00E127C8">
      <w:pPr>
        <w:pStyle w:val="Heading1"/>
      </w:pPr>
      <w:bookmarkStart w:id="3" w:name="O_1262663"/>
      <w:bookmarkEnd w:id="3"/>
      <w:r w:rsidRPr="00E127C8">
        <w:t>Entry Requirements</w:t>
      </w:r>
    </w:p>
    <w:p w:rsidR="00000000" w:rsidRPr="00E127C8" w:rsidP="003D4EBF">
      <w:pPr>
        <w:pStyle w:val="BodyText"/>
      </w:pPr>
      <w:r w:rsidRPr="00E127C8">
        <w:t>Nil.</w:t>
      </w:r>
    </w:p>
    <w:p w:rsidR="00000000" w:rsidRPr="00E127C8" w:rsidP="00E127C8">
      <w:pPr>
        <w:pStyle w:val="Heading1"/>
      </w:pPr>
      <w:bookmarkStart w:id="4" w:name="O_1262664"/>
      <w:bookmarkEnd w:id="4"/>
      <w:r w:rsidRPr="00E127C8">
        <w:t>Packaging Rules</w:t>
      </w:r>
    </w:p>
    <w:p w:rsidR="00000000" w:rsidRPr="00E127C8" w:rsidP="003D4EBF">
      <w:pPr>
        <w:pStyle w:val="BodyText"/>
      </w:pPr>
      <w:r w:rsidRPr="00E127C8">
        <w:t xml:space="preserve">Total number of units = </w:t>
      </w:r>
      <w:r w:rsidRPr="00E127C8">
        <w:rPr>
          <w:rStyle w:val="SpecialBold"/>
        </w:rPr>
        <w:t>Twelve (12)</w:t>
      </w:r>
    </w:p>
    <w:p w:rsidR="00000000" w:rsidRPr="00E127C8" w:rsidP="00E127C8">
      <w:pPr>
        <w:pStyle w:val="ListBullet"/>
      </w:pPr>
      <w:r w:rsidRPr="00E127C8">
        <w:rPr>
          <w:rStyle w:val="SpecialBold"/>
        </w:rPr>
        <w:t xml:space="preserve">Three (3) </w:t>
      </w:r>
      <w:r w:rsidRPr="00E127C8">
        <w:t xml:space="preserve">core units </w:t>
      </w:r>
    </w:p>
    <w:p w:rsidR="00000000" w:rsidRPr="00E127C8" w:rsidP="00E127C8">
      <w:pPr>
        <w:pStyle w:val="ListBullet"/>
      </w:pPr>
      <w:r w:rsidRPr="00E127C8">
        <w:rPr>
          <w:rStyle w:val="SpecialBold"/>
        </w:rPr>
        <w:t xml:space="preserve">Nine (9) </w:t>
      </w:r>
      <w:r w:rsidRPr="00E127C8">
        <w:t>elective units, cons</w:t>
      </w:r>
      <w:r w:rsidRPr="00E127C8">
        <w:t>isting of:</w:t>
      </w:r>
    </w:p>
    <w:p w:rsidR="00000000" w:rsidRPr="00E127C8" w:rsidP="00E127C8">
      <w:pPr>
        <w:pStyle w:val="ListBullet2"/>
      </w:pPr>
      <w:r w:rsidRPr="00E127C8">
        <w:t xml:space="preserve">a minimum of </w:t>
      </w:r>
      <w:r w:rsidRPr="00E127C8">
        <w:rPr>
          <w:rStyle w:val="SpecialBold"/>
        </w:rPr>
        <w:t>five (5)</w:t>
      </w:r>
      <w:r w:rsidRPr="00E127C8">
        <w:t xml:space="preserve"> units from Group A</w:t>
      </w:r>
    </w:p>
    <w:p w:rsidR="00000000" w:rsidRPr="00E127C8" w:rsidP="00E127C8">
      <w:pPr>
        <w:pStyle w:val="ListBullet2"/>
      </w:pPr>
      <w:r w:rsidRPr="00E127C8">
        <w:t xml:space="preserve">the balance of units, to a maximum of </w:t>
      </w:r>
      <w:r w:rsidRPr="00E127C8">
        <w:rPr>
          <w:rStyle w:val="SpecialBold"/>
        </w:rPr>
        <w:t>four (4)</w:t>
      </w:r>
      <w:r w:rsidRPr="00E127C8">
        <w:t>, may be selected from:</w:t>
      </w:r>
    </w:p>
    <w:p w:rsidR="00000000" w:rsidRPr="00E127C8" w:rsidP="00E127C8">
      <w:pPr>
        <w:pStyle w:val="ListBullet3"/>
      </w:pPr>
      <w:r w:rsidRPr="00E127C8">
        <w:t xml:space="preserve">Group A </w:t>
      </w:r>
    </w:p>
    <w:p w:rsidR="00000000" w:rsidRPr="00E127C8" w:rsidP="00E127C8">
      <w:pPr>
        <w:pStyle w:val="ListBullet3"/>
      </w:pPr>
      <w:r w:rsidRPr="00E127C8">
        <w:t xml:space="preserve">Group B </w:t>
      </w:r>
    </w:p>
    <w:p w:rsidR="00000000" w:rsidRPr="00E127C8" w:rsidP="00E127C8">
      <w:pPr>
        <w:pStyle w:val="ListBullet3"/>
      </w:pPr>
      <w:r w:rsidRPr="00E127C8">
        <w:t>any endorsed Training Package qualification or accredited course at Certificate IV level.</w:t>
      </w:r>
    </w:p>
    <w:p w:rsidR="00000000" w:rsidRPr="00E127C8" w:rsidP="00E127C8">
      <w:pPr>
        <w:pStyle w:val="BodyText"/>
      </w:pPr>
    </w:p>
    <w:p w:rsidR="00000000" w:rsidRPr="00E127C8" w:rsidP="003D4EBF">
      <w:pPr>
        <w:pStyle w:val="BodyText"/>
      </w:pPr>
      <w:r w:rsidRPr="00E127C8">
        <w:t>All electives chosen must contribute to a valid, industry-supported vocational outcome.</w:t>
      </w:r>
      <w:r w:rsidRPr="00E127C8">
        <w:rPr>
          <w:rStyle w:val="SpecialBold"/>
        </w:rPr>
        <w:t xml:space="preserve"> </w:t>
      </w:r>
    </w:p>
    <w:p w:rsidR="00000000" w:rsidRPr="00E127C8" w:rsidP="003D4EBF">
      <w:pPr>
        <w:pStyle w:val="BodyText"/>
      </w:pPr>
      <w:r w:rsidRPr="00E127C8">
        <w:rPr>
          <w:rStyle w:val="SpecialBold"/>
        </w:rPr>
        <w:t>Note</w:t>
      </w:r>
      <w:r w:rsidRPr="00E127C8">
        <w:t>: Prerequisite units must be counted in the total number of units required for achievement of the qualification. Refer to individual units for details.</w:t>
      </w:r>
    </w:p>
    <w:p w:rsidR="00000000" w:rsidRPr="00E127C8" w:rsidP="003D4EBF">
      <w:pPr>
        <w:pStyle w:val="Heading3"/>
      </w:pPr>
      <w:r w:rsidRPr="00E127C8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2"/>
        <w:gridCol w:w="5676"/>
        <w:gridCol w:w="2262"/>
      </w:tblGrid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  <w:r w:rsidRPr="00E127C8">
              <w:rPr>
                <w:rStyle w:val="SpecialBold"/>
              </w:rPr>
              <w:t>Unit code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  <w:r w:rsidRPr="00E127C8">
              <w:rPr>
                <w:rStyle w:val="SpecialBold"/>
              </w:rPr>
              <w:t>Unit title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rPr>
                <w:rStyle w:val="SpecialBold"/>
              </w:rPr>
              <w:t>Prerequisites</w:t>
            </w: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MSMENV472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Implement and monitor environmentally sustainable work practices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MSS014015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Improve sustainability through readily implementable change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MSS014016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Evaluate sustainability impact from a work area or process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</w:p>
        </w:tc>
      </w:tr>
    </w:tbl>
    <w:p w:rsidR="00000000" w:rsidRPr="00E127C8" w:rsidP="00E127C8">
      <w:pPr>
        <w:pStyle w:val="BodyText"/>
      </w:pPr>
    </w:p>
    <w:p w:rsidR="00000000" w:rsidRPr="00E127C8" w:rsidP="003D4EBF">
      <w:pPr>
        <w:pStyle w:val="Heading3"/>
      </w:pPr>
      <w:r w:rsidRPr="00E127C8">
        <w:rPr>
          <w:rStyle w:val="SpecialBold"/>
        </w:rPr>
        <w:t>ELECTIVE UNITS</w:t>
      </w:r>
    </w:p>
    <w:p w:rsidR="00000000" w:rsidRPr="00E127C8" w:rsidP="003D4EBF">
      <w:pPr>
        <w:pStyle w:val="Heading4"/>
      </w:pPr>
      <w:r w:rsidRPr="00E127C8">
        <w:rPr>
          <w:rStyle w:val="SpecialBold"/>
        </w:rPr>
        <w:t>Group 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669"/>
        <w:gridCol w:w="2263"/>
      </w:tblGrid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  <w:r w:rsidRPr="00E127C8">
              <w:rPr>
                <w:rStyle w:val="SpecialBold"/>
              </w:rPr>
              <w:t>Unit code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  <w:r w:rsidRPr="00E127C8">
              <w:rPr>
                <w:rStyle w:val="SpecialBold"/>
              </w:rPr>
              <w:t>Unit title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rPr>
                <w:rStyle w:val="SpecialBold"/>
              </w:rPr>
              <w:t>Prerequisites</w:t>
            </w: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MSL974022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Undertake environmental field-based monitoring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MSMSUP301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Apply HACCP to the workplace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MSS014017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Implement social sustainability in work practices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MSS014018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Apply circularity design thinking to all work streams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MSS014019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Facilitate team engagement with sustainability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MSS014020 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Optimise sustainability performance of a work area or process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MSS015042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Measure and report carbon footprint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MSS015045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Develop required sustainability reports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MSS015048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Implement sustainability plans 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MSS015054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Lead circular economy initiatives in the supply chain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MSS024026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Apply environmental management procedures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MSS024027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Participate in environmental field work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MSS405087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Investigate energy management as a business issue 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MSS405088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Plan, implement and monitor energy management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MSS405089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Develop a business case for improved energy management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PMASUP520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Review procedures to minimise environmental impact of process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</w:p>
        </w:tc>
      </w:tr>
    </w:tbl>
    <w:p w:rsidR="00000000" w:rsidRPr="00E127C8" w:rsidP="00E127C8">
      <w:pPr>
        <w:pStyle w:val="BodyText"/>
      </w:pPr>
    </w:p>
    <w:p w:rsidR="00000000" w:rsidRPr="00E127C8" w:rsidP="003D4EBF">
      <w:pPr>
        <w:pStyle w:val="Heading4"/>
      </w:pPr>
      <w:r w:rsidRPr="00E127C8">
        <w:rPr>
          <w:rStyle w:val="SpecialBold"/>
        </w:rPr>
        <w:t>Group B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6"/>
        <w:gridCol w:w="5734"/>
        <w:gridCol w:w="2288"/>
      </w:tblGrid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  <w:r w:rsidRPr="00E127C8">
              <w:rPr>
                <w:rStyle w:val="SpecialBold"/>
              </w:rPr>
              <w:t>Unit code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  <w:r w:rsidRPr="00E127C8">
              <w:rPr>
                <w:rStyle w:val="SpecialBold"/>
              </w:rPr>
              <w:t>Unit title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rPr>
                <w:rStyle w:val="SpecialBold"/>
              </w:rPr>
              <w:t>Prerequisites</w:t>
            </w: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BSBOPS403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Apply business risk management processes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BSBPMG427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Apply project procurement procedures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BSBPMG428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Apply project life cycle management processes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BSBPMG429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Apply project stakeholder engagement techniques</w:t>
            </w:r>
            <w:r w:rsidRPr="00E127C8">
              <w:tab/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CPPWMT4003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Implement waste management plans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CPPWMT4010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Assess and advise on waste avoidance options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MEM30016A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Assist in the analysis of a supply chain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MSMWHS200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Work safely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MSS027025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Coordinate environmental management activities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MSS402084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Undertake root cause analysis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MSS402086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Use planning software systems in operations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MSS403008 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Facilitate use of a Balanced Scorecard for performance improvement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MSS403058 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Facilitate breakthrough improvements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MSS403082 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Improve cost factors in work practices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TLIR4002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Source goods/services and evaluate contractors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TLIX0010X 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Enable traceabil</w:t>
            </w:r>
            <w:r w:rsidRPr="00E127C8">
              <w:t>ity in supply chains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TLIX0012X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Lead digital supply chain implementation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</w:p>
        </w:tc>
      </w:tr>
      <w:tr w:rsidTr="00E127C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>TLIX0015X</w:t>
            </w:r>
          </w:p>
        </w:tc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7C8">
            <w:pPr>
              <w:pStyle w:val="BodyText"/>
              <w:rPr>
                <w:lang w:val="en-NZ"/>
              </w:rPr>
            </w:pPr>
            <w:r w:rsidRPr="00E127C8">
              <w:t xml:space="preserve">Manage fundamental aspects of supply chains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7C8" w:rsidP="00E127C8">
            <w:pPr>
              <w:pStyle w:val="BodyText"/>
            </w:pPr>
          </w:p>
        </w:tc>
      </w:tr>
    </w:tbl>
    <w:p w:rsidR="00000000" w:rsidRPr="00E127C8" w:rsidP="00E127C8">
      <w:pPr>
        <w:pStyle w:val="BodyText"/>
      </w:pPr>
    </w:p>
    <w:p w:rsidR="00000000" w:rsidRPr="00E127C8" w:rsidP="00E127C8">
      <w:pPr>
        <w:pStyle w:val="AllowPageBreak"/>
      </w:pPr>
    </w:p>
    <w:p w:rsidR="00000000" w:rsidRPr="00E127C8" w:rsidP="00E127C8">
      <w:pPr>
        <w:pStyle w:val="Heading1"/>
      </w:pPr>
      <w:bookmarkStart w:id="5" w:name="O_1262665"/>
      <w:bookmarkEnd w:id="5"/>
      <w:r w:rsidRPr="00E127C8">
        <w:t>Qualification Mapping Information</w:t>
      </w:r>
    </w:p>
    <w:p w:rsidR="00000000" w:rsidRPr="00E127C8" w:rsidP="003D4EBF">
      <w:pPr>
        <w:pStyle w:val="BodyText"/>
      </w:pPr>
      <w:r w:rsidRPr="00E127C8">
        <w:t xml:space="preserve">Release 1. No equivalent qualification. </w:t>
      </w:r>
    </w:p>
    <w:p w:rsidR="00000000" w:rsidRPr="00E127C8" w:rsidP="00E127C8">
      <w:pPr>
        <w:pStyle w:val="Heading1"/>
      </w:pPr>
      <w:bookmarkStart w:id="6" w:name="O_1262667"/>
      <w:bookmarkEnd w:id="6"/>
      <w:r w:rsidRPr="00E127C8">
        <w:t>Links</w:t>
      </w:r>
    </w:p>
    <w:p w:rsidR="00000000" w:rsidRPr="00E127C8" w:rsidP="003D4EBF">
      <w:pPr>
        <w:pStyle w:val="BodyText"/>
      </w:pPr>
      <w:r w:rsidRPr="00E127C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8188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127C8" w:rsidP="00E127C8"/>
    <w:sectPr w:rsidSect="00E12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C8" w:rsidRPr="003D4EBF" w:rsidP="003D4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F" w:rsidP="00E12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EBF" w:rsidP="00E12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4EBF" w:rsidP="00E12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7C8" w:rsidRPr="003D4EBF" w:rsidP="003D4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F" w:rsidRPr="002D2AF8" w:rsidP="00E12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MSS40122 Certificate IV in Sustainable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D4EBF" w:rsidP="00E12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8AC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E48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C0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7C8"/>
  </w:style>
  <w:style w:type="character" w:customStyle="1" w:styleId="Heading1Char">
    <w:name w:val="Heading 1 Char"/>
    <w:basedOn w:val="DefaultParagraphFont"/>
    <w:link w:val="Heading1"/>
    <w:rsid w:val="00E12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7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7C8"/>
    <w:rPr>
      <w:b/>
      <w:spacing w:val="0"/>
    </w:rPr>
  </w:style>
  <w:style w:type="paragraph" w:styleId="ListBullet2">
    <w:name w:val="List Bullet 2"/>
    <w:basedOn w:val="List2"/>
    <w:rsid w:val="00E127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27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2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7C8"/>
    <w:rPr>
      <w:i/>
    </w:rPr>
  </w:style>
  <w:style w:type="paragraph" w:styleId="Caption">
    <w:name w:val="caption"/>
    <w:basedOn w:val="BodyText"/>
    <w:next w:val="Normal"/>
    <w:qFormat/>
    <w:rsid w:val="00E12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7C8"/>
  </w:style>
  <w:style w:type="paragraph" w:styleId="TableofFigures">
    <w:name w:val="table of figures"/>
    <w:basedOn w:val="Normal"/>
    <w:next w:val="Normal"/>
    <w:semiHidden/>
    <w:rsid w:val="00E12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7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27C8"/>
    <w:rPr>
      <w:rFonts w:ascii="Wingdings" w:hAnsi="Wingdings"/>
    </w:rPr>
  </w:style>
  <w:style w:type="paragraph" w:customStyle="1" w:styleId="TableHeading">
    <w:name w:val="Table Heading"/>
    <w:basedOn w:val="HeadingBase"/>
    <w:rsid w:val="00E12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7C8"/>
    <w:rPr>
      <w:color w:val="0033CC"/>
      <w:u w:val="none"/>
    </w:rPr>
  </w:style>
  <w:style w:type="paragraph" w:customStyle="1" w:styleId="BodyTextRight">
    <w:name w:val="Body Text Right"/>
    <w:basedOn w:val="BodyText"/>
    <w:rsid w:val="00E12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7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7C8"/>
    <w:rPr>
      <w:sz w:val="32"/>
    </w:rPr>
  </w:style>
  <w:style w:type="paragraph" w:customStyle="1" w:styleId="HeadingProcedure">
    <w:name w:val="Heading Procedure"/>
    <w:basedOn w:val="HeadingBase"/>
    <w:next w:val="Normal"/>
    <w:rsid w:val="00E12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7C8"/>
    <w:pPr>
      <w:spacing w:before="60" w:after="60"/>
    </w:pPr>
  </w:style>
  <w:style w:type="paragraph" w:styleId="ListContinue">
    <w:name w:val="List Continue"/>
    <w:basedOn w:val="List"/>
    <w:rsid w:val="00E127C8"/>
    <w:pPr>
      <w:ind w:firstLine="0"/>
    </w:pPr>
  </w:style>
  <w:style w:type="paragraph" w:customStyle="1" w:styleId="ListNote">
    <w:name w:val="List Note"/>
    <w:basedOn w:val="List"/>
    <w:rsid w:val="00E12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7C8"/>
    <w:rPr>
      <w:rFonts w:ascii="Courier New" w:hAnsi="Courier New"/>
    </w:rPr>
  </w:style>
  <w:style w:type="paragraph" w:customStyle="1" w:styleId="NoteBullet">
    <w:name w:val="Note Bullet"/>
    <w:basedOn w:val="Note"/>
    <w:rsid w:val="00E12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7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2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7C8"/>
    <w:rPr>
      <w:b/>
      <w:smallCaps/>
    </w:rPr>
  </w:style>
  <w:style w:type="paragraph" w:customStyle="1" w:styleId="TableListNumber">
    <w:name w:val="Table List Number"/>
    <w:basedOn w:val="ListNumber"/>
    <w:rsid w:val="00E12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7C8"/>
    <w:pPr>
      <w:numPr>
        <w:numId w:val="10"/>
      </w:numPr>
    </w:pPr>
  </w:style>
  <w:style w:type="paragraph" w:customStyle="1" w:styleId="ListAlpha2">
    <w:name w:val="List Alpha 2"/>
    <w:basedOn w:val="List2"/>
    <w:rsid w:val="00E127C8"/>
    <w:pPr>
      <w:numPr>
        <w:numId w:val="9"/>
      </w:numPr>
    </w:pPr>
  </w:style>
  <w:style w:type="paragraph" w:styleId="List2">
    <w:name w:val="List 2"/>
    <w:basedOn w:val="BodyText"/>
    <w:rsid w:val="00E12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7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27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27C8"/>
    <w:pPr>
      <w:numPr>
        <w:numId w:val="5"/>
      </w:numPr>
    </w:pPr>
  </w:style>
  <w:style w:type="paragraph" w:styleId="ListContinue2">
    <w:name w:val="List Continue 2"/>
    <w:basedOn w:val="List2"/>
    <w:rsid w:val="00E127C8"/>
    <w:pPr>
      <w:ind w:firstLine="0"/>
    </w:pPr>
  </w:style>
  <w:style w:type="paragraph" w:styleId="ListContinue3">
    <w:name w:val="List Continue 3"/>
    <w:basedOn w:val="List3"/>
    <w:rsid w:val="00E127C8"/>
    <w:pPr>
      <w:ind w:left="1021" w:firstLine="0"/>
    </w:pPr>
  </w:style>
  <w:style w:type="paragraph" w:styleId="ListContinue4">
    <w:name w:val="List Continue 4"/>
    <w:basedOn w:val="List4"/>
    <w:rsid w:val="00E127C8"/>
    <w:pPr>
      <w:ind w:firstLine="0"/>
    </w:pPr>
  </w:style>
  <w:style w:type="paragraph" w:styleId="ListContinue5">
    <w:name w:val="List Continue 5"/>
    <w:basedOn w:val="List5"/>
    <w:rsid w:val="00E127C8"/>
    <w:pPr>
      <w:ind w:firstLine="0"/>
    </w:pPr>
  </w:style>
  <w:style w:type="paragraph" w:styleId="ListNumber3">
    <w:name w:val="List Number 3"/>
    <w:basedOn w:val="List3"/>
    <w:rsid w:val="00E127C8"/>
    <w:pPr>
      <w:numPr>
        <w:numId w:val="6"/>
      </w:numPr>
    </w:pPr>
  </w:style>
  <w:style w:type="paragraph" w:styleId="ListNumber4">
    <w:name w:val="List Number 4"/>
    <w:basedOn w:val="List4"/>
    <w:rsid w:val="00E127C8"/>
    <w:pPr>
      <w:numPr>
        <w:numId w:val="7"/>
      </w:numPr>
    </w:pPr>
  </w:style>
  <w:style w:type="paragraph" w:styleId="ListNumber5">
    <w:name w:val="List Number 5"/>
    <w:basedOn w:val="List5"/>
    <w:rsid w:val="00E127C8"/>
    <w:pPr>
      <w:numPr>
        <w:numId w:val="8"/>
      </w:numPr>
    </w:pPr>
  </w:style>
  <w:style w:type="paragraph" w:styleId="BlockText">
    <w:name w:val="Block Text"/>
    <w:basedOn w:val="Normal"/>
    <w:rsid w:val="00E12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7C8"/>
    <w:rPr>
      <w:sz w:val="16"/>
      <w:vertAlign w:val="superscript"/>
    </w:rPr>
  </w:style>
  <w:style w:type="character" w:customStyle="1" w:styleId="Symbols">
    <w:name w:val="Symbols"/>
    <w:basedOn w:val="DefaultParagraphFont"/>
    <w:rsid w:val="00E127C8"/>
    <w:rPr>
      <w:rFonts w:ascii="Symbol" w:hAnsi="Symbol"/>
    </w:rPr>
  </w:style>
  <w:style w:type="character" w:customStyle="1" w:styleId="MenuOptions">
    <w:name w:val="Menu Options"/>
    <w:basedOn w:val="DefaultParagraphFont"/>
    <w:rsid w:val="00E12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7C8"/>
    <w:rPr>
      <w:b/>
    </w:rPr>
  </w:style>
  <w:style w:type="character" w:customStyle="1" w:styleId="Underlined">
    <w:name w:val="Underlined"/>
    <w:basedOn w:val="DefaultParagraphFont"/>
    <w:rsid w:val="00E127C8"/>
    <w:rPr>
      <w:u w:val="single"/>
    </w:rPr>
  </w:style>
  <w:style w:type="paragraph" w:customStyle="1" w:styleId="TableBodyTextRight">
    <w:name w:val="Table Body Text Right"/>
    <w:basedOn w:val="TableBodyText"/>
    <w:rsid w:val="00E12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7C8"/>
    <w:rPr>
      <w:sz w:val="18"/>
    </w:rPr>
  </w:style>
  <w:style w:type="paragraph" w:customStyle="1" w:styleId="BodySmallRight">
    <w:name w:val="Body Small Right"/>
    <w:basedOn w:val="BodyTextRight"/>
    <w:rsid w:val="00E127C8"/>
    <w:rPr>
      <w:sz w:val="18"/>
      <w:szCs w:val="18"/>
    </w:rPr>
  </w:style>
  <w:style w:type="paragraph" w:customStyle="1" w:styleId="MarginEdition">
    <w:name w:val="Margin Edition"/>
    <w:basedOn w:val="MarginNote"/>
    <w:rsid w:val="00E12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7C8"/>
    <w:rPr>
      <w:sz w:val="2"/>
      <w:szCs w:val="2"/>
    </w:rPr>
  </w:style>
  <w:style w:type="character" w:customStyle="1" w:styleId="Small">
    <w:name w:val="Small"/>
    <w:basedOn w:val="DefaultParagraphFont"/>
    <w:rsid w:val="00E127C8"/>
    <w:rPr>
      <w:sz w:val="16"/>
    </w:rPr>
  </w:style>
  <w:style w:type="paragraph" w:customStyle="1" w:styleId="WideTable">
    <w:name w:val="Wide Table"/>
    <w:basedOn w:val="Normal"/>
    <w:rsid w:val="00E12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7C8"/>
  </w:style>
  <w:style w:type="paragraph" w:styleId="Quote">
    <w:name w:val="Quote"/>
    <w:basedOn w:val="Heading1"/>
    <w:link w:val="QuoteChar"/>
    <w:qFormat/>
    <w:rsid w:val="00E12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7C8"/>
    <w:pPr>
      <w:pageBreakBefore/>
    </w:pPr>
  </w:style>
  <w:style w:type="paragraph" w:customStyle="1" w:styleId="Border">
    <w:name w:val="Border"/>
    <w:basedOn w:val="Normal"/>
    <w:qFormat/>
    <w:rsid w:val="00E12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7C8"/>
    <w:rPr>
      <w:u w:val="single"/>
    </w:rPr>
  </w:style>
  <w:style w:type="character" w:customStyle="1" w:styleId="BoldandItalics">
    <w:name w:val="Bold and Italics"/>
    <w:qFormat/>
    <w:rsid w:val="00E127C8"/>
    <w:rPr>
      <w:b/>
      <w:i/>
      <w:u w:val="none"/>
    </w:rPr>
  </w:style>
  <w:style w:type="paragraph" w:styleId="BalloonText">
    <w:name w:val="Balloon Text"/>
    <w:basedOn w:val="Normal"/>
    <w:link w:val="BalloonTextChar"/>
    <w:rsid w:val="00E12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7C8"/>
    <w:pPr>
      <w:spacing w:before="0" w:after="0"/>
    </w:pPr>
  </w:style>
  <w:style w:type="paragraph" w:customStyle="1" w:styleId="BodyTextBold">
    <w:name w:val="Body Text Bold"/>
    <w:basedOn w:val="BodyText"/>
    <w:qFormat/>
    <w:rsid w:val="00E127C8"/>
    <w:rPr>
      <w:b/>
    </w:rPr>
  </w:style>
  <w:style w:type="character" w:styleId="Hyperlink">
    <w:name w:val="Hyperlink"/>
    <w:basedOn w:val="DefaultParagraphFont"/>
    <w:uiPriority w:val="99"/>
    <w:unhideWhenUsed/>
    <w:rsid w:val="003D4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4335</Characters>
  <Application>Microsoft Office Word</Application>
  <DocSecurity>0</DocSecurity>
  <Lines>206</Lines>
  <Paragraphs>138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MSS40122 Certificate IV in Sustainable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