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582" w:rsidP="00F045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MSS027024 Select, commission and maintain environmental monitoring instruments</w:t>
      </w:r>
      <w:r>
        <w:fldChar w:fldCharType="end"/>
      </w:r>
    </w:p>
    <w:p w:rsidR="00F04582" w:rsidP="00F04582">
      <w:pPr>
        <w:pStyle w:val="Version"/>
        <w:sectPr w:rsidSect="00892A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2A19" w:rsidP="00892A19">
      <w:pPr>
        <w:pStyle w:val="SuperHeading"/>
      </w:pPr>
      <w:r w:rsidRPr="00892A19">
        <w:t>Assessment Requirements for MSS027024 Select, commission and maintain environmental monitoring instruments</w:t>
      </w:r>
    </w:p>
    <w:p w:rsidR="00000000" w:rsidRPr="00892A19" w:rsidP="00892A19">
      <w:pPr>
        <w:pStyle w:val="Heading1"/>
      </w:pPr>
      <w:bookmarkStart w:id="1" w:name="O_1033629"/>
      <w:bookmarkEnd w:id="1"/>
      <w:r w:rsidRPr="00892A19">
        <w:t>Modification History</w:t>
      </w:r>
    </w:p>
    <w:p w:rsidR="00000000" w:rsidRPr="00892A19" w:rsidP="00F04582">
      <w:pPr>
        <w:pStyle w:val="BodyText"/>
      </w:pPr>
      <w:r w:rsidRPr="00892A19">
        <w:t>Release 1. Unit code changed. Appl</w:t>
      </w:r>
      <w:r w:rsidRPr="00892A19">
        <w:t>ication changed. Performance criteria changed. Range of conditions removed. Assessment requirements changed. Supersedes and is equivalent to MSS027011 Select, commission and maintain environmental monitoring instruments.</w:t>
      </w:r>
    </w:p>
    <w:p w:rsidR="00000000" w:rsidRPr="00892A19" w:rsidP="00892A19">
      <w:pPr>
        <w:pStyle w:val="Heading1"/>
      </w:pPr>
      <w:bookmarkStart w:id="2" w:name="O_1033630"/>
      <w:bookmarkEnd w:id="2"/>
      <w:r w:rsidRPr="00892A19">
        <w:t>Performance Evid</w:t>
      </w:r>
      <w:r w:rsidRPr="00892A19">
        <w:t>ence</w:t>
      </w:r>
    </w:p>
    <w:p w:rsidR="00000000" w:rsidRPr="00892A19" w:rsidP="00F04582">
      <w:pPr>
        <w:pStyle w:val="BodyText"/>
      </w:pPr>
      <w:r w:rsidRPr="00892A19">
        <w:t>There must be evidence the candidate has completed the tasks outlined in the elements and performance criteria of this unit, and:</w:t>
      </w:r>
    </w:p>
    <w:p w:rsidR="00000000" w:rsidRPr="00892A19" w:rsidP="00892A19">
      <w:pPr>
        <w:pStyle w:val="ListBullet"/>
      </w:pPr>
      <w:r w:rsidRPr="00892A19">
        <w:t>selected, commissioned and maintained at least 2 environmental monitoring instruments</w:t>
      </w:r>
    </w:p>
    <w:p w:rsidR="00000000" w:rsidRPr="00892A19" w:rsidP="00892A19">
      <w:pPr>
        <w:pStyle w:val="ListBullet"/>
      </w:pPr>
      <w:r w:rsidRPr="00892A19">
        <w:t>trained at least 2 operators to us</w:t>
      </w:r>
      <w:r w:rsidRPr="00892A19">
        <w:t>e a monitoring instrument correctly, safely and reliably.</w:t>
      </w:r>
    </w:p>
    <w:p w:rsidR="00000000" w:rsidRPr="00892A19" w:rsidP="00892A19">
      <w:pPr>
        <w:pStyle w:val="AllowPageBreak"/>
      </w:pPr>
    </w:p>
    <w:p w:rsidR="00000000" w:rsidRPr="00892A19" w:rsidP="00892A19">
      <w:pPr>
        <w:pStyle w:val="Heading1"/>
      </w:pPr>
      <w:bookmarkStart w:id="3" w:name="O_1033631"/>
      <w:bookmarkEnd w:id="3"/>
      <w:r w:rsidRPr="00892A19">
        <w:t>Knowledge Evidence</w:t>
      </w:r>
    </w:p>
    <w:p w:rsidR="00000000" w:rsidRPr="00892A19" w:rsidP="00F04582">
      <w:pPr>
        <w:pStyle w:val="BodyText"/>
      </w:pPr>
      <w:r w:rsidRPr="00892A19">
        <w:t>There must be evidence the candidate has knowledge of:</w:t>
      </w:r>
    </w:p>
    <w:p w:rsidR="00000000" w:rsidRPr="00892A19" w:rsidP="00892A19">
      <w:pPr>
        <w:pStyle w:val="ListBullet"/>
      </w:pPr>
      <w:r w:rsidRPr="00892A19">
        <w:t>environmental monitoring terms and concepts, and measurement parameters used in job role</w:t>
      </w:r>
    </w:p>
    <w:p w:rsidR="00000000" w:rsidRPr="00892A19" w:rsidP="00892A19">
      <w:pPr>
        <w:pStyle w:val="ListBullet"/>
      </w:pPr>
      <w:r w:rsidRPr="00892A19">
        <w:t>workplace proce</w:t>
      </w:r>
      <w:r w:rsidRPr="00892A19">
        <w:t>dures and methods for conducting surveys, monitoring, sampling and in-situ measurements used in job role</w:t>
      </w:r>
    </w:p>
    <w:p w:rsidR="00000000" w:rsidRPr="00892A19" w:rsidP="00892A19">
      <w:pPr>
        <w:pStyle w:val="ListBullet"/>
      </w:pPr>
      <w:r w:rsidRPr="00892A19">
        <w:t>instrumentation terms and concepts, including operating voltage, accuracy, response time, sensitivity, detection limit, linearity and instrument uncert</w:t>
      </w:r>
      <w:r w:rsidRPr="00892A19">
        <w:t>ainty</w:t>
      </w:r>
    </w:p>
    <w:p w:rsidR="00000000" w:rsidRPr="00892A19" w:rsidP="00892A19">
      <w:pPr>
        <w:pStyle w:val="ListBullet"/>
      </w:pPr>
      <w:r w:rsidRPr="00892A19">
        <w:t>characteristics, capabilities, limitations, function of key components and operating principles for monitoring instruments used in the workplace</w:t>
      </w:r>
    </w:p>
    <w:p w:rsidR="00000000" w:rsidRPr="00892A19" w:rsidP="00892A19">
      <w:pPr>
        <w:pStyle w:val="ListBullet"/>
      </w:pPr>
      <w:r w:rsidRPr="00892A19">
        <w:t>role and importance of regular calibration and pre-use checks and maintenance</w:t>
      </w:r>
    </w:p>
    <w:p w:rsidR="00000000" w:rsidRPr="00892A19" w:rsidP="00892A19">
      <w:pPr>
        <w:pStyle w:val="ListBullet"/>
      </w:pPr>
      <w:r w:rsidRPr="00892A19">
        <w:t>common instrument faults, t</w:t>
      </w:r>
      <w:r w:rsidRPr="00892A19">
        <w:t>roubleshooting, recommended remedial actions and repairs</w:t>
      </w:r>
    </w:p>
    <w:p w:rsidR="00000000" w:rsidRPr="00892A19" w:rsidP="00892A19">
      <w:pPr>
        <w:pStyle w:val="ListBullet"/>
      </w:pPr>
      <w:r w:rsidRPr="00892A19">
        <w:t>common instrument operator errors</w:t>
      </w:r>
    </w:p>
    <w:p w:rsidR="00000000" w:rsidRPr="00892A19" w:rsidP="00892A19">
      <w:pPr>
        <w:pStyle w:val="ListBullet"/>
      </w:pPr>
      <w:r w:rsidRPr="00892A19">
        <w:t>adult learning principles</w:t>
      </w:r>
    </w:p>
    <w:p w:rsidR="00000000" w:rsidRPr="00892A19" w:rsidP="00892A19">
      <w:pPr>
        <w:pStyle w:val="ListBullet"/>
      </w:pPr>
      <w:r w:rsidRPr="00892A19">
        <w:t>instrument hazards, health, safety and workplace emergency response procedures.</w:t>
      </w:r>
    </w:p>
    <w:p w:rsidR="00000000" w:rsidRPr="00892A19" w:rsidP="00892A19">
      <w:pPr>
        <w:pStyle w:val="AllowPageBreak"/>
      </w:pPr>
    </w:p>
    <w:p w:rsidR="00000000" w:rsidRPr="00892A19" w:rsidP="00892A19">
      <w:pPr>
        <w:pStyle w:val="Heading1"/>
      </w:pPr>
      <w:bookmarkStart w:id="4" w:name="O_1033632"/>
      <w:bookmarkEnd w:id="4"/>
      <w:r w:rsidRPr="00892A19">
        <w:t>Assessment Conditions</w:t>
      </w:r>
    </w:p>
    <w:p w:rsidR="00000000" w:rsidRPr="00892A19" w:rsidP="00F04582">
      <w:pPr>
        <w:pStyle w:val="BodyText"/>
      </w:pPr>
      <w:r w:rsidRPr="00892A19">
        <w:t>Skills must have been demonstrated in the workplace or in a simulated environment that reflects workplace conditions and contingencies. The following conditions must be met for this unit:</w:t>
      </w:r>
    </w:p>
    <w:p w:rsidR="00000000" w:rsidRPr="00892A19" w:rsidP="00892A19">
      <w:pPr>
        <w:pStyle w:val="ListBullet"/>
      </w:pPr>
      <w:r w:rsidRPr="00892A19">
        <w:t>use of suitable facilities, equipment and resources, including:</w:t>
      </w:r>
    </w:p>
    <w:p w:rsidR="00000000" w:rsidRPr="00892A19" w:rsidP="00892A19">
      <w:pPr>
        <w:pStyle w:val="ListBullet2"/>
      </w:pPr>
      <w:r w:rsidRPr="00892A19">
        <w:t>en</w:t>
      </w:r>
      <w:r w:rsidRPr="00892A19">
        <w:t>vironmental management plan</w:t>
      </w:r>
    </w:p>
    <w:p w:rsidR="00000000" w:rsidRPr="00892A19" w:rsidP="00892A19">
      <w:pPr>
        <w:pStyle w:val="ListBullet2"/>
      </w:pPr>
      <w:r w:rsidRPr="00892A19">
        <w:t>environmental monitoring instruments, specifications and manuals</w:t>
      </w:r>
    </w:p>
    <w:p w:rsidR="00000000" w:rsidRPr="00892A19" w:rsidP="00892A19">
      <w:pPr>
        <w:pStyle w:val="ListBullet2"/>
      </w:pPr>
      <w:r w:rsidRPr="00892A19">
        <w:t>workplace procedures for procurement of equipment and materials</w:t>
      </w:r>
    </w:p>
    <w:p w:rsidR="00000000" w:rsidRPr="00892A19" w:rsidP="00892A19">
      <w:pPr>
        <w:pStyle w:val="ListBullet2"/>
      </w:pPr>
      <w:r w:rsidRPr="00892A19">
        <w:t>background information</w:t>
      </w:r>
    </w:p>
    <w:p w:rsidR="00000000" w:rsidRPr="00892A19" w:rsidP="00892A19">
      <w:pPr>
        <w:pStyle w:val="ListBullet2"/>
      </w:pPr>
      <w:r w:rsidRPr="00892A19">
        <w:t>workplace information management systems.</w:t>
      </w:r>
    </w:p>
    <w:p w:rsidR="00000000" w:rsidRPr="00892A19" w:rsidP="00F04582">
      <w:pPr>
        <w:pStyle w:val="BodyText"/>
      </w:pPr>
      <w:r w:rsidRPr="00892A19">
        <w:t>Assessors must satisfy the NVR/AQT</w:t>
      </w:r>
      <w:r w:rsidRPr="00892A19">
        <w:t>F mandatory competency requirements for assessors.</w:t>
      </w:r>
    </w:p>
    <w:p w:rsidR="00000000" w:rsidRPr="00892A19" w:rsidP="00892A19">
      <w:pPr>
        <w:pStyle w:val="Heading1"/>
      </w:pPr>
      <w:bookmarkStart w:id="5" w:name="O_1033635"/>
      <w:bookmarkEnd w:id="5"/>
      <w:r w:rsidRPr="00892A19">
        <w:t>Links</w:t>
      </w:r>
    </w:p>
    <w:p w:rsidR="00000000" w:rsidRPr="00892A19" w:rsidP="00F04582">
      <w:pPr>
        <w:pStyle w:val="BodyText"/>
      </w:pPr>
      <w:r w:rsidRPr="00892A19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5669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92A19" w:rsidP="00892A19"/>
    <w:sectPr w:rsidSect="00892A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19" w:rsidRPr="00F04582" w:rsidP="00F045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582" w:rsidP="00892A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4582" w:rsidP="00892A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04582" w:rsidP="00892A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5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2A19" w:rsidRPr="00F04582" w:rsidP="00F045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582" w:rsidRPr="002D2AF8" w:rsidP="00892A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MSS027024 Select, commission and maintain environmental monitoring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F04582" w:rsidP="00892A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8266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DAC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C0D0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A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2A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2A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2A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2A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2A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2A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2A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2A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2A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2A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2A19"/>
  </w:style>
  <w:style w:type="character" w:customStyle="1" w:styleId="Heading1Char">
    <w:name w:val="Heading 1 Char"/>
    <w:basedOn w:val="DefaultParagraphFont"/>
    <w:link w:val="Heading1"/>
    <w:rsid w:val="00892A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2A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2A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2A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2A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2A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2A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2A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2A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2A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2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2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2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2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2A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2A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2A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2A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2A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2A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2A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2A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2A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2A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2A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2A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2A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2A19"/>
    <w:rPr>
      <w:b/>
      <w:spacing w:val="0"/>
    </w:rPr>
  </w:style>
  <w:style w:type="paragraph" w:customStyle="1" w:styleId="SuperTitle">
    <w:name w:val="SuperTitle"/>
    <w:basedOn w:val="Title"/>
    <w:rsid w:val="00892A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2A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2A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2A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2A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2A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2A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2A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2A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2A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2A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2A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2A19"/>
    <w:rPr>
      <w:i/>
    </w:rPr>
  </w:style>
  <w:style w:type="paragraph" w:styleId="Caption">
    <w:name w:val="caption"/>
    <w:basedOn w:val="BodyText"/>
    <w:next w:val="Normal"/>
    <w:qFormat/>
    <w:rsid w:val="00892A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2A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2A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2A19"/>
  </w:style>
  <w:style w:type="paragraph" w:styleId="TableofFigures">
    <w:name w:val="table of figures"/>
    <w:basedOn w:val="Normal"/>
    <w:next w:val="Normal"/>
    <w:semiHidden/>
    <w:rsid w:val="00892A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2A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2A19"/>
    <w:rPr>
      <w:rFonts w:ascii="Wingdings" w:hAnsi="Wingdings"/>
    </w:rPr>
  </w:style>
  <w:style w:type="paragraph" w:customStyle="1" w:styleId="TableHeading">
    <w:name w:val="Table Heading"/>
    <w:basedOn w:val="HeadingBase"/>
    <w:rsid w:val="00892A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2A19"/>
    <w:rPr>
      <w:color w:val="0033CC"/>
      <w:u w:val="none"/>
    </w:rPr>
  </w:style>
  <w:style w:type="paragraph" w:customStyle="1" w:styleId="BodyTextRight">
    <w:name w:val="Body Text Right"/>
    <w:basedOn w:val="BodyText"/>
    <w:rsid w:val="00892A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2A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2A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2A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2A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2A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2A19"/>
    <w:rPr>
      <w:sz w:val="32"/>
    </w:rPr>
  </w:style>
  <w:style w:type="paragraph" w:customStyle="1" w:styleId="HeadingProcedure">
    <w:name w:val="Heading Procedure"/>
    <w:basedOn w:val="HeadingBase"/>
    <w:next w:val="Normal"/>
    <w:rsid w:val="00892A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2A19"/>
    <w:pPr>
      <w:spacing w:before="60" w:after="60"/>
    </w:pPr>
  </w:style>
  <w:style w:type="paragraph" w:styleId="ListContinue">
    <w:name w:val="List Continue"/>
    <w:basedOn w:val="List"/>
    <w:rsid w:val="00892A19"/>
    <w:pPr>
      <w:ind w:firstLine="0"/>
    </w:pPr>
  </w:style>
  <w:style w:type="paragraph" w:customStyle="1" w:styleId="ListNote">
    <w:name w:val="List Note"/>
    <w:basedOn w:val="List"/>
    <w:rsid w:val="00892A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2A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2A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2A19"/>
    <w:rPr>
      <w:rFonts w:ascii="Courier New" w:hAnsi="Courier New"/>
    </w:rPr>
  </w:style>
  <w:style w:type="paragraph" w:customStyle="1" w:styleId="NoteBullet">
    <w:name w:val="Note Bullet"/>
    <w:basedOn w:val="Note"/>
    <w:rsid w:val="00892A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2A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2A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2A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2A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2A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2A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2A19"/>
    <w:rPr>
      <w:b/>
      <w:smallCaps/>
    </w:rPr>
  </w:style>
  <w:style w:type="paragraph" w:customStyle="1" w:styleId="TableListNumber">
    <w:name w:val="Table List Number"/>
    <w:basedOn w:val="ListNumber"/>
    <w:rsid w:val="00892A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2A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2A19"/>
    <w:pPr>
      <w:numPr>
        <w:numId w:val="9"/>
      </w:numPr>
    </w:pPr>
  </w:style>
  <w:style w:type="paragraph" w:customStyle="1" w:styleId="ListAlpha2">
    <w:name w:val="List Alpha 2"/>
    <w:basedOn w:val="List2"/>
    <w:rsid w:val="00892A19"/>
    <w:pPr>
      <w:numPr>
        <w:numId w:val="8"/>
      </w:numPr>
    </w:pPr>
  </w:style>
  <w:style w:type="paragraph" w:styleId="List2">
    <w:name w:val="List 2"/>
    <w:basedOn w:val="BodyText"/>
    <w:rsid w:val="00892A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2A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2A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2A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2A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2A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2A19"/>
    <w:pPr>
      <w:numPr>
        <w:numId w:val="4"/>
      </w:numPr>
    </w:pPr>
  </w:style>
  <w:style w:type="paragraph" w:styleId="ListContinue2">
    <w:name w:val="List Continue 2"/>
    <w:basedOn w:val="List2"/>
    <w:rsid w:val="00892A19"/>
    <w:pPr>
      <w:ind w:firstLine="0"/>
    </w:pPr>
  </w:style>
  <w:style w:type="paragraph" w:styleId="ListContinue3">
    <w:name w:val="List Continue 3"/>
    <w:basedOn w:val="List3"/>
    <w:rsid w:val="00892A19"/>
    <w:pPr>
      <w:ind w:left="1021" w:firstLine="0"/>
    </w:pPr>
  </w:style>
  <w:style w:type="paragraph" w:styleId="ListContinue4">
    <w:name w:val="List Continue 4"/>
    <w:basedOn w:val="List4"/>
    <w:rsid w:val="00892A19"/>
    <w:pPr>
      <w:ind w:firstLine="0"/>
    </w:pPr>
  </w:style>
  <w:style w:type="paragraph" w:styleId="ListContinue5">
    <w:name w:val="List Continue 5"/>
    <w:basedOn w:val="List5"/>
    <w:rsid w:val="00892A19"/>
    <w:pPr>
      <w:ind w:firstLine="0"/>
    </w:pPr>
  </w:style>
  <w:style w:type="paragraph" w:styleId="ListNumber3">
    <w:name w:val="List Number 3"/>
    <w:basedOn w:val="List3"/>
    <w:rsid w:val="00892A19"/>
    <w:pPr>
      <w:numPr>
        <w:numId w:val="5"/>
      </w:numPr>
    </w:pPr>
  </w:style>
  <w:style w:type="paragraph" w:styleId="ListNumber4">
    <w:name w:val="List Number 4"/>
    <w:basedOn w:val="List4"/>
    <w:rsid w:val="00892A19"/>
    <w:pPr>
      <w:numPr>
        <w:numId w:val="6"/>
      </w:numPr>
    </w:pPr>
  </w:style>
  <w:style w:type="paragraph" w:styleId="ListNumber5">
    <w:name w:val="List Number 5"/>
    <w:basedOn w:val="List5"/>
    <w:rsid w:val="00892A19"/>
    <w:pPr>
      <w:numPr>
        <w:numId w:val="7"/>
      </w:numPr>
    </w:pPr>
  </w:style>
  <w:style w:type="paragraph" w:styleId="BlockText">
    <w:name w:val="Block Text"/>
    <w:basedOn w:val="Normal"/>
    <w:rsid w:val="00892A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2A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2A19"/>
    <w:rPr>
      <w:sz w:val="16"/>
      <w:vertAlign w:val="superscript"/>
    </w:rPr>
  </w:style>
  <w:style w:type="character" w:customStyle="1" w:styleId="Symbols">
    <w:name w:val="Symbols"/>
    <w:basedOn w:val="DefaultParagraphFont"/>
    <w:rsid w:val="00892A19"/>
    <w:rPr>
      <w:rFonts w:ascii="Symbol" w:hAnsi="Symbol"/>
    </w:rPr>
  </w:style>
  <w:style w:type="character" w:customStyle="1" w:styleId="MenuOptions">
    <w:name w:val="Menu Options"/>
    <w:basedOn w:val="DefaultParagraphFont"/>
    <w:rsid w:val="00892A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2A19"/>
    <w:rPr>
      <w:b/>
    </w:rPr>
  </w:style>
  <w:style w:type="character" w:customStyle="1" w:styleId="Underlined">
    <w:name w:val="Underlined"/>
    <w:basedOn w:val="DefaultParagraphFont"/>
    <w:rsid w:val="00892A19"/>
    <w:rPr>
      <w:u w:val="single"/>
    </w:rPr>
  </w:style>
  <w:style w:type="paragraph" w:customStyle="1" w:styleId="TableBodyTextRight">
    <w:name w:val="Table Body Text Right"/>
    <w:basedOn w:val="TableBodyText"/>
    <w:rsid w:val="00892A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2A19"/>
    <w:rPr>
      <w:sz w:val="18"/>
    </w:rPr>
  </w:style>
  <w:style w:type="paragraph" w:customStyle="1" w:styleId="BodySmallRight">
    <w:name w:val="Body Small Right"/>
    <w:basedOn w:val="BodyTextRight"/>
    <w:rsid w:val="00892A19"/>
    <w:rPr>
      <w:sz w:val="18"/>
      <w:szCs w:val="18"/>
    </w:rPr>
  </w:style>
  <w:style w:type="paragraph" w:customStyle="1" w:styleId="MarginEdition">
    <w:name w:val="Margin Edition"/>
    <w:basedOn w:val="MarginNote"/>
    <w:rsid w:val="00892A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2A19"/>
    <w:rPr>
      <w:sz w:val="2"/>
      <w:szCs w:val="2"/>
    </w:rPr>
  </w:style>
  <w:style w:type="character" w:customStyle="1" w:styleId="Small">
    <w:name w:val="Small"/>
    <w:basedOn w:val="DefaultParagraphFont"/>
    <w:rsid w:val="00892A19"/>
    <w:rPr>
      <w:sz w:val="16"/>
    </w:rPr>
  </w:style>
  <w:style w:type="paragraph" w:customStyle="1" w:styleId="WideTable">
    <w:name w:val="Wide Table"/>
    <w:basedOn w:val="Normal"/>
    <w:rsid w:val="00892A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2A19"/>
  </w:style>
  <w:style w:type="paragraph" w:styleId="Quote">
    <w:name w:val="Quote"/>
    <w:basedOn w:val="Heading1"/>
    <w:link w:val="QuoteChar"/>
    <w:qFormat/>
    <w:rsid w:val="00892A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2A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2A19"/>
    <w:pPr>
      <w:pageBreakBefore/>
    </w:pPr>
  </w:style>
  <w:style w:type="paragraph" w:customStyle="1" w:styleId="Border">
    <w:name w:val="Border"/>
    <w:basedOn w:val="Normal"/>
    <w:qFormat/>
    <w:rsid w:val="00892A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2A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A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A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2A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2A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2A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2A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2A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2A19"/>
    <w:rPr>
      <w:u w:val="single"/>
    </w:rPr>
  </w:style>
  <w:style w:type="character" w:customStyle="1" w:styleId="BoldandItalics">
    <w:name w:val="Bold and Italics"/>
    <w:qFormat/>
    <w:rsid w:val="00892A19"/>
    <w:rPr>
      <w:b/>
      <w:i/>
      <w:u w:val="none"/>
    </w:rPr>
  </w:style>
  <w:style w:type="paragraph" w:styleId="BalloonText">
    <w:name w:val="Balloon Text"/>
    <w:basedOn w:val="Normal"/>
    <w:link w:val="BalloonTextChar"/>
    <w:rsid w:val="00892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A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2A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2A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2A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2A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2A19"/>
    <w:pPr>
      <w:spacing w:before="0" w:after="0"/>
    </w:pPr>
  </w:style>
  <w:style w:type="paragraph" w:customStyle="1" w:styleId="BodyTextBold">
    <w:name w:val="Body Text Bold"/>
    <w:basedOn w:val="BodyText"/>
    <w:qFormat/>
    <w:rsid w:val="00892A19"/>
    <w:rPr>
      <w:b/>
    </w:rPr>
  </w:style>
  <w:style w:type="character" w:styleId="Hyperlink">
    <w:name w:val="Hyperlink"/>
    <w:basedOn w:val="DefaultParagraphFont"/>
    <w:uiPriority w:val="99"/>
    <w:unhideWhenUsed/>
    <w:rsid w:val="00F045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2340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MSS027024 Select, commission and maintain environmental monitoring instruments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2020-07-30T07:32:00Z</dcterms:created>
  <dcterms:modified xsi:type="dcterms:W3CDTF">2020-07-30T07:32:00Z</dcterms:modified>
</cp:coreProperties>
</file>