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B57" w:rsidP="00722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MSS027005 Contribute to improving environmental performance</w:t>
      </w:r>
      <w:r>
        <w:fldChar w:fldCharType="end"/>
      </w:r>
    </w:p>
    <w:p w:rsidR="00722B57" w:rsidP="00722B57">
      <w:pPr>
        <w:pStyle w:val="Version"/>
        <w:sectPr w:rsidSect="00E97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00C" w:rsidP="00E9700C">
      <w:pPr>
        <w:pStyle w:val="SuperHeading"/>
      </w:pPr>
      <w:r w:rsidRPr="00E9700C">
        <w:t>Assessment Requirements for MSS027005 Contribute to improving environmental performance</w:t>
      </w:r>
    </w:p>
    <w:p w:rsidR="00000000" w:rsidRPr="00E9700C" w:rsidP="00E9700C">
      <w:pPr>
        <w:pStyle w:val="Heading1"/>
      </w:pPr>
      <w:bookmarkStart w:id="1" w:name="O_922636"/>
      <w:bookmarkEnd w:id="1"/>
      <w:r w:rsidRPr="00E9700C">
        <w:t>Modification History</w:t>
      </w:r>
    </w:p>
    <w:p w:rsidR="00000000" w:rsidRPr="00E9700C" w:rsidP="00E9700C">
      <w:pPr>
        <w:pStyle w:val="BodyText"/>
      </w:pPr>
      <w:r w:rsidRPr="00E9700C">
        <w:t>Release 1. Supersedes and is equivalent to MSS027005A Contribute to improving environmental performance</w:t>
      </w:r>
    </w:p>
    <w:p w:rsidR="00000000" w:rsidRPr="00E9700C" w:rsidP="00E9700C">
      <w:pPr>
        <w:pStyle w:val="AllowPageBreak"/>
      </w:pPr>
    </w:p>
    <w:p w:rsidR="00000000" w:rsidRPr="00E9700C" w:rsidP="00E9700C">
      <w:pPr>
        <w:pStyle w:val="Heading1"/>
      </w:pPr>
      <w:bookmarkStart w:id="2" w:name="O_922639"/>
      <w:bookmarkEnd w:id="2"/>
      <w:r w:rsidRPr="00E9700C">
        <w:t>Performance Evidence</w:t>
      </w:r>
    </w:p>
    <w:p w:rsidR="00000000" w:rsidRPr="00E9700C" w:rsidP="00E9700C">
      <w:pPr>
        <w:pStyle w:val="BodyText"/>
      </w:pPr>
      <w:r w:rsidRPr="00E9700C">
        <w:t>Evidence of competence in this unit must satisfy all of the requirements of the elements and performance criteria and include demonstration of:</w:t>
      </w:r>
    </w:p>
    <w:p w:rsidR="00000000" w:rsidRPr="00E9700C" w:rsidP="00E9700C">
      <w:pPr>
        <w:pStyle w:val="ListBullet"/>
      </w:pPr>
      <w:r w:rsidRPr="00E9700C">
        <w:t>planning, organising, conducting and evaluating environmental review/audit activities on a</w:t>
      </w:r>
      <w:r w:rsidRPr="00E9700C">
        <w:t>t least two (2) occasions</w:t>
      </w:r>
    </w:p>
    <w:p w:rsidR="00000000" w:rsidRPr="00E9700C" w:rsidP="00E9700C">
      <w:pPr>
        <w:pStyle w:val="ListBullet"/>
      </w:pPr>
      <w:r w:rsidRPr="00E9700C">
        <w:t>accessing, interpreting and applying relevant legislative and regulatory requirements, audit standards, environmental management plans, workplace policies, procedures and plans for review/audit activities</w:t>
      </w:r>
    </w:p>
    <w:p w:rsidR="00000000" w:rsidRPr="00E9700C" w:rsidP="00E9700C">
      <w:pPr>
        <w:pStyle w:val="ListBullet"/>
      </w:pPr>
      <w:r w:rsidRPr="00E9700C">
        <w:t>preparing for environment</w:t>
      </w:r>
      <w:r w:rsidRPr="00E9700C">
        <w:t>al review/audit activities by scrutinising relevant background information, review/audit criteria, tools and evidence requirements</w:t>
      </w:r>
    </w:p>
    <w:p w:rsidR="00000000" w:rsidRPr="00E9700C" w:rsidP="00E9700C">
      <w:pPr>
        <w:pStyle w:val="ListBullet"/>
      </w:pPr>
      <w:r w:rsidRPr="00E9700C">
        <w:t>consulting effectively with interested parties and keeping them informed about the review/audit process</w:t>
      </w:r>
    </w:p>
    <w:p w:rsidR="00000000" w:rsidRPr="00E9700C" w:rsidP="00E9700C">
      <w:pPr>
        <w:pStyle w:val="ListBullet"/>
      </w:pPr>
      <w:r w:rsidRPr="00E9700C">
        <w:t>clearly explaining en</w:t>
      </w:r>
      <w:r w:rsidRPr="00E9700C">
        <w:t>vironmental performance requirements and review/audit procedures</w:t>
      </w:r>
    </w:p>
    <w:p w:rsidR="00000000" w:rsidRPr="00E9700C" w:rsidP="00E9700C">
      <w:pPr>
        <w:pStyle w:val="ListBullet"/>
      </w:pPr>
      <w:r w:rsidRPr="00E9700C">
        <w:t>identifying and obtaining sufficient information to make valid judgements about environmental performance</w:t>
      </w:r>
    </w:p>
    <w:p w:rsidR="00000000" w:rsidRPr="00E9700C" w:rsidP="00E9700C">
      <w:pPr>
        <w:pStyle w:val="ListBullet"/>
      </w:pPr>
      <w:r w:rsidRPr="00E9700C">
        <w:t>analysing information systematically to identify significant performance trends, patt</w:t>
      </w:r>
      <w:r w:rsidRPr="00E9700C">
        <w:t>erns, gaps and areas of risk; and instances of non-conformance/non-compliance</w:t>
      </w:r>
    </w:p>
    <w:p w:rsidR="00000000" w:rsidRPr="00E9700C" w:rsidP="00E9700C">
      <w:pPr>
        <w:pStyle w:val="ListBullet"/>
      </w:pPr>
      <w:r w:rsidRPr="00E9700C">
        <w:t>evaluating performance against specified benchmarks and identifying corrective/preventative actions and/or improvement strategies</w:t>
      </w:r>
    </w:p>
    <w:p w:rsidR="00000000" w:rsidRPr="00E9700C" w:rsidP="00E9700C">
      <w:pPr>
        <w:pStyle w:val="ListBullet"/>
      </w:pPr>
      <w:r w:rsidRPr="00E9700C">
        <w:t>seeking advice when issues/problems are beyond s</w:t>
      </w:r>
      <w:r w:rsidRPr="00E9700C">
        <w:t>cope of competence/responsibility</w:t>
      </w:r>
    </w:p>
    <w:p w:rsidR="00000000" w:rsidRPr="00E9700C" w:rsidP="00E9700C">
      <w:pPr>
        <w:pStyle w:val="ListBullet"/>
      </w:pPr>
      <w:r w:rsidRPr="00E9700C">
        <w:t>providing clear, timely reports/briefings containing evidence-based findings and recommendations that enable effective action to be taken</w:t>
      </w:r>
    </w:p>
    <w:p w:rsidR="00000000" w:rsidRPr="00E9700C" w:rsidP="00E9700C">
      <w:pPr>
        <w:pStyle w:val="ListBullet"/>
      </w:pPr>
      <w:r w:rsidRPr="00E9700C">
        <w:t>recognising hazards, assessing risks and working safely.</w:t>
      </w:r>
    </w:p>
    <w:p w:rsidR="00000000" w:rsidRPr="00E9700C" w:rsidP="00E9700C">
      <w:pPr>
        <w:pStyle w:val="AllowPageBreak"/>
      </w:pPr>
    </w:p>
    <w:p w:rsidR="00000000" w:rsidRPr="00E9700C" w:rsidP="00E9700C">
      <w:pPr>
        <w:pStyle w:val="Heading1"/>
      </w:pPr>
      <w:bookmarkStart w:id="3" w:name="O_922638"/>
      <w:bookmarkEnd w:id="3"/>
      <w:r w:rsidRPr="00E9700C">
        <w:t xml:space="preserve">Knowledge </w:t>
      </w:r>
      <w:r w:rsidRPr="00E9700C">
        <w:t>Evidence</w:t>
      </w:r>
    </w:p>
    <w:p w:rsidR="00000000" w:rsidRPr="00E9700C" w:rsidP="00E9700C">
      <w:pPr>
        <w:pStyle w:val="ListBullet"/>
      </w:pPr>
      <w:r w:rsidRPr="00E9700C">
        <w:t>Must provide evidence that demonstrates knowledge of:</w:t>
      </w:r>
    </w:p>
    <w:p w:rsidR="00000000" w:rsidRPr="00E9700C" w:rsidP="00E9700C">
      <w:pPr>
        <w:pStyle w:val="ListBullet"/>
      </w:pPr>
      <w:r w:rsidRPr="00E9700C">
        <w:t>environmental protection/management/audit terminology, concepts, principles and examples of best practice relevant to job role</w:t>
      </w:r>
    </w:p>
    <w:p w:rsidR="00000000" w:rsidRPr="00E9700C" w:rsidP="00E9700C">
      <w:pPr>
        <w:pStyle w:val="ListBullet"/>
      </w:pPr>
      <w:r w:rsidRPr="00E9700C">
        <w:t>legislative/regulatory requirements and compliance strategies</w:t>
      </w:r>
    </w:p>
    <w:p w:rsidR="00000000" w:rsidRPr="00E9700C" w:rsidP="00E9700C">
      <w:pPr>
        <w:pStyle w:val="ListBullet"/>
      </w:pPr>
      <w:r w:rsidRPr="00E9700C">
        <w:t>key aspects of workplace environmental management systems (EMS), policies, procedures and plans</w:t>
      </w:r>
    </w:p>
    <w:p w:rsidR="00000000" w:rsidRPr="00E9700C" w:rsidP="00E9700C">
      <w:pPr>
        <w:pStyle w:val="ListBullet"/>
      </w:pPr>
      <w:r w:rsidRPr="00E9700C">
        <w:t>procedures for conducting environmental performance review/audit activities</w:t>
      </w:r>
    </w:p>
    <w:p w:rsidR="00000000" w:rsidRPr="00E9700C" w:rsidP="00E9700C">
      <w:pPr>
        <w:pStyle w:val="ListBullet"/>
      </w:pPr>
      <w:r w:rsidRPr="00E9700C">
        <w:t xml:space="preserve">procedures for site sampling, environmental monitoring and testing and reporting of </w:t>
      </w:r>
      <w:r w:rsidRPr="00E9700C">
        <w:t>results</w:t>
      </w:r>
    </w:p>
    <w:p w:rsidR="00000000" w:rsidRPr="00E9700C" w:rsidP="00E9700C">
      <w:pPr>
        <w:pStyle w:val="ListBullet"/>
      </w:pPr>
      <w:r w:rsidRPr="00E9700C">
        <w:t>correct use of review/audit tools (e.g. performance criteria, checklists and benchmarks)</w:t>
      </w:r>
    </w:p>
    <w:p w:rsidR="00000000" w:rsidRPr="00E9700C" w:rsidP="00E9700C">
      <w:pPr>
        <w:pStyle w:val="ListBullet"/>
      </w:pPr>
      <w:r w:rsidRPr="00E9700C">
        <w:t>common examples of environmental non-conformance/non-compliance, and corrective/preventative actions and strategies for improving environmental performance</w:t>
      </w:r>
    </w:p>
    <w:p w:rsidR="00000000" w:rsidRPr="00E9700C" w:rsidP="00E9700C">
      <w:pPr>
        <w:pStyle w:val="ListBullet"/>
      </w:pPr>
      <w:r w:rsidRPr="00E9700C">
        <w:t>com</w:t>
      </w:r>
      <w:r w:rsidRPr="00E9700C">
        <w:t>mon issues and problems that may arise when conducting environmental review/audit activities and the recommended actions in each case</w:t>
      </w:r>
    </w:p>
    <w:p w:rsidR="00000000" w:rsidRPr="00E9700C" w:rsidP="00E9700C">
      <w:pPr>
        <w:pStyle w:val="BodyText"/>
      </w:pPr>
      <w:r w:rsidRPr="00E9700C">
        <w:t>hazards and risks relevant to review/audit activities and specified health, safety and workplace emergency response proced</w:t>
      </w:r>
      <w:r w:rsidRPr="00E9700C">
        <w:t>ures.</w:t>
      </w:r>
    </w:p>
    <w:p w:rsidR="00000000" w:rsidRPr="00E9700C" w:rsidP="00E9700C">
      <w:pPr>
        <w:pStyle w:val="AllowPageBreak"/>
      </w:pPr>
    </w:p>
    <w:p w:rsidR="00000000" w:rsidRPr="00E9700C" w:rsidP="00E9700C">
      <w:pPr>
        <w:pStyle w:val="Heading1"/>
      </w:pPr>
      <w:bookmarkStart w:id="4" w:name="O_922637"/>
      <w:bookmarkEnd w:id="4"/>
      <w:r w:rsidRPr="00E9700C">
        <w:t>Assessment Conditions</w:t>
      </w:r>
    </w:p>
    <w:p w:rsidR="00000000" w:rsidRPr="00E9700C" w:rsidP="00E9700C">
      <w:pPr>
        <w:pStyle w:val="ListBullet"/>
      </w:pPr>
      <w:r w:rsidRPr="00E9700C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E9700C" w:rsidP="00E9700C">
      <w:pPr>
        <w:pStyle w:val="ListBullet"/>
      </w:pPr>
      <w:r w:rsidRPr="00E9700C">
        <w:t>This unit of competenc</w:t>
      </w:r>
      <w:r w:rsidRPr="00E9700C">
        <w:t>y is to be assessed in the workplace, or a simulated workplace environment. A simulated workplace environment must reflect realistic operational workplace conditions that cover all aspects of workplace performance, including the environment, task skills, t</w:t>
      </w:r>
      <w:r w:rsidRPr="00E9700C">
        <w:t xml:space="preserve">ask management skills, contingency management skills and job role environment skills.  </w:t>
      </w:r>
    </w:p>
    <w:p w:rsidR="00000000" w:rsidRPr="00E9700C" w:rsidP="00E9700C">
      <w:pPr>
        <w:pStyle w:val="ListBullet"/>
      </w:pPr>
      <w:r w:rsidRPr="00E9700C">
        <w:t xml:space="preserve">Foundation skills are integral to competent performance of the unit and should not be assessed separately. </w:t>
      </w:r>
    </w:p>
    <w:p w:rsidR="00000000" w:rsidRPr="00E9700C" w:rsidP="00E9700C">
      <w:pPr>
        <w:pStyle w:val="ListBullet"/>
      </w:pPr>
      <w:r w:rsidRPr="00E9700C">
        <w:t>Assessment processes and techniques must be appropriate to t</w:t>
      </w:r>
      <w:r w:rsidRPr="00E9700C">
        <w:t>he language, literacy and numeracy requirements of the work being performed and the needs of the candidate.</w:t>
      </w:r>
    </w:p>
    <w:p w:rsidR="00000000" w:rsidRPr="00E9700C" w:rsidP="00E9700C">
      <w:pPr>
        <w:pStyle w:val="ListBullet"/>
      </w:pPr>
      <w:r w:rsidRPr="00E9700C">
        <w:t xml:space="preserve">Knowledge evidence may be collected concurrently with performance evidence or through an independent process such as workbooks, written assessments </w:t>
      </w:r>
      <w:r w:rsidRPr="00E9700C">
        <w:t>or interviews (provided a record is kept in each case).</w:t>
      </w:r>
    </w:p>
    <w:p w:rsidR="00000000" w:rsidRPr="00E9700C" w:rsidP="00E9700C">
      <w:pPr>
        <w:pStyle w:val="ListBullet"/>
      </w:pPr>
      <w:r w:rsidRPr="00E9700C">
        <w:t xml:space="preserve">Holistic assessment methods include: </w:t>
      </w:r>
    </w:p>
    <w:p w:rsidR="00000000" w:rsidRPr="00E9700C" w:rsidP="00E9700C">
      <w:pPr>
        <w:pStyle w:val="ListBullet2"/>
      </w:pPr>
      <w:r w:rsidRPr="00E9700C">
        <w:t>review of results of review/audit activities and the supporting documentation prepared by the candidate</w:t>
      </w:r>
    </w:p>
    <w:p w:rsidR="00000000" w:rsidRPr="00E9700C" w:rsidP="00E9700C">
      <w:pPr>
        <w:pStyle w:val="ListBullet2"/>
      </w:pPr>
      <w:r w:rsidRPr="00E9700C">
        <w:t>feedback from site personnel, lead auditor or manager that the candidate follows relevant audit standards and procedures and provides reliable outputs within the agreed timeframe</w:t>
      </w:r>
    </w:p>
    <w:p w:rsidR="00000000" w:rsidRPr="00E9700C" w:rsidP="00E9700C">
      <w:pPr>
        <w:pStyle w:val="ListBullet2"/>
      </w:pPr>
      <w:r w:rsidRPr="00E9700C">
        <w:t>oral and/or written questions to assess the candidate’s understanding of envi</w:t>
      </w:r>
      <w:r w:rsidRPr="00E9700C">
        <w:t>ronmental management terms, principles and information, and workplace procedures for review/audit activities</w:t>
      </w:r>
    </w:p>
    <w:p w:rsidR="00000000" w:rsidRPr="00E9700C" w:rsidP="00E9700C">
      <w:pPr>
        <w:pStyle w:val="ListBullet2"/>
      </w:pPr>
      <w:r w:rsidRPr="00E9700C">
        <w:t>analysis of case studies involving environmental performance issues/problems within the candidate’s scope of responsibility</w:t>
      </w:r>
    </w:p>
    <w:p w:rsidR="00000000" w:rsidRPr="00E9700C" w:rsidP="00E9700C">
      <w:pPr>
        <w:pStyle w:val="ListBullet2"/>
      </w:pPr>
      <w:r w:rsidRPr="00E9700C">
        <w:t>observation of the cand</w:t>
      </w:r>
      <w:r w:rsidRPr="00E9700C">
        <w:t>idate presenting of audit/review findings and recommendations and/or interacting with site personnel during review/audit activities.</w:t>
      </w:r>
    </w:p>
    <w:p w:rsidR="00000000" w:rsidRPr="00E9700C" w:rsidP="00E9700C">
      <w:pPr>
        <w:pStyle w:val="ListBullet"/>
      </w:pPr>
      <w:r w:rsidRPr="00E9700C">
        <w:t>Access is required to all instruments, equipment, materials, workplace documentation, procedures and specifications associ</w:t>
      </w:r>
      <w:r w:rsidRPr="00E9700C">
        <w:t>ated with this unit including, but not limited to:</w:t>
      </w:r>
    </w:p>
    <w:p w:rsidR="00000000" w:rsidRPr="00E9700C" w:rsidP="00E9700C">
      <w:pPr>
        <w:pStyle w:val="ListBullet2"/>
      </w:pPr>
      <w:r w:rsidRPr="00E9700C">
        <w:t>background information for site</w:t>
      </w:r>
    </w:p>
    <w:p w:rsidR="00000000" w:rsidRPr="00E9700C" w:rsidP="00E9700C">
      <w:pPr>
        <w:pStyle w:val="ListBullet2"/>
      </w:pPr>
      <w:r w:rsidRPr="00E9700C">
        <w:t>current site documentation</w:t>
      </w:r>
    </w:p>
    <w:p w:rsidR="00000000" w:rsidRPr="00E9700C" w:rsidP="00E9700C">
      <w:pPr>
        <w:pStyle w:val="ListBullet2"/>
      </w:pPr>
      <w:r w:rsidRPr="00E9700C">
        <w:t>relevant legislation, codes, audit standards, workplace EMS, policies, plans and procedures</w:t>
      </w:r>
    </w:p>
    <w:p w:rsidR="00000000" w:rsidRPr="00E9700C" w:rsidP="00E9700C">
      <w:pPr>
        <w:pStyle w:val="ListBullet2"/>
      </w:pPr>
      <w:r w:rsidRPr="00E9700C">
        <w:t>workplace review/audit procedures and tools</w:t>
      </w:r>
    </w:p>
    <w:p w:rsidR="00000000" w:rsidRPr="00E9700C" w:rsidP="00E9700C">
      <w:pPr>
        <w:pStyle w:val="ListBullet2"/>
      </w:pPr>
      <w:r w:rsidRPr="00E9700C">
        <w:t>access to</w:t>
      </w:r>
      <w:r w:rsidRPr="00E9700C">
        <w:t xml:space="preserve"> site personnel, computer, internet, workplace reports, published case studies and research.</w:t>
      </w:r>
    </w:p>
    <w:p w:rsidR="00000000" w:rsidRPr="00E9700C" w:rsidP="00E9700C">
      <w:pPr>
        <w:pStyle w:val="ListBullet"/>
      </w:pPr>
      <w:r w:rsidRPr="00E9700C">
        <w:t xml:space="preserve">Assessors must satisfy the assessor competency requirements that are in place at the time of the assessment as set by the VET regulator.  </w:t>
      </w:r>
    </w:p>
    <w:p w:rsidR="00000000" w:rsidRPr="00E9700C" w:rsidP="00E9700C">
      <w:pPr>
        <w:pStyle w:val="ListBullet"/>
      </w:pPr>
      <w:r w:rsidRPr="00E9700C">
        <w:t>The assessor must demon</w:t>
      </w:r>
      <w:r w:rsidRPr="00E9700C">
        <w:t>strate both technical competency and currency.</w:t>
      </w:r>
    </w:p>
    <w:p w:rsidR="00000000" w:rsidRPr="00E9700C" w:rsidP="00E9700C">
      <w:pPr>
        <w:pStyle w:val="ListBullet"/>
      </w:pPr>
      <w:r w:rsidRPr="00E9700C">
        <w:t>Technical competence can be demonstrated through:</w:t>
      </w:r>
    </w:p>
    <w:p w:rsidR="00000000" w:rsidRPr="00E9700C" w:rsidP="00E9700C">
      <w:pPr>
        <w:pStyle w:val="ListBullet2"/>
      </w:pPr>
      <w:r w:rsidRPr="00E9700C">
        <w:t>relevant VET or other qualification/Statement of Attainment AND/OR</w:t>
      </w:r>
    </w:p>
    <w:p w:rsidR="00000000" w:rsidRPr="00E9700C" w:rsidP="00E9700C">
      <w:pPr>
        <w:pStyle w:val="ListBullet2"/>
      </w:pPr>
      <w:r w:rsidRPr="00E9700C">
        <w:t xml:space="preserve">relevant workplace experience </w:t>
      </w:r>
    </w:p>
    <w:p w:rsidR="00000000" w:rsidRPr="00E9700C" w:rsidP="00E9700C">
      <w:pPr>
        <w:pStyle w:val="ListBullet"/>
      </w:pPr>
      <w:r w:rsidRPr="00E9700C">
        <w:t>Currency can be demonstrated through:</w:t>
      </w:r>
    </w:p>
    <w:p w:rsidR="00000000" w:rsidRPr="00E9700C" w:rsidP="00E9700C">
      <w:pPr>
        <w:pStyle w:val="ListBullet2"/>
      </w:pPr>
      <w:r w:rsidRPr="00E9700C">
        <w:t>performing the competency being assessed as part of current employment OR</w:t>
      </w:r>
    </w:p>
    <w:p w:rsidR="00000000" w:rsidRPr="00E9700C" w:rsidP="00E9700C">
      <w:pPr>
        <w:pStyle w:val="ListBullet2"/>
      </w:pPr>
      <w:r w:rsidRPr="00E9700C">
        <w:t>having consulted with an organisation providing relevant environmental monitoring, management or technology services about performing the competency being assessed within the last tw</w:t>
      </w:r>
      <w:r w:rsidRPr="00E9700C">
        <w:t>elve months.</w:t>
      </w:r>
    </w:p>
    <w:p w:rsidR="00000000" w:rsidRPr="00E9700C" w:rsidP="00E9700C">
      <w:pPr>
        <w:pStyle w:val="AllowPageBreak"/>
      </w:pPr>
    </w:p>
    <w:p w:rsidR="00000000" w:rsidRPr="00E9700C" w:rsidP="00E9700C">
      <w:pPr>
        <w:pStyle w:val="Heading1"/>
      </w:pPr>
      <w:bookmarkStart w:id="5" w:name="O_922635"/>
      <w:bookmarkEnd w:id="5"/>
      <w:r w:rsidRPr="00E9700C">
        <w:t>Links</w:t>
      </w:r>
    </w:p>
    <w:p w:rsidR="00000000" w:rsidRPr="00E9700C" w:rsidP="00E9700C">
      <w:pPr>
        <w:pStyle w:val="BodyText"/>
      </w:pPr>
      <w:r w:rsidRPr="00E9700C">
        <w:t>Companion Volume implementation guides are found in VETNet - https://vetnet.education.gov.au/Pages/TrainingDocs.aspx?q=5b04f318-804f-4dc0-9463-c3fb9a3fe998</w:t>
      </w:r>
    </w:p>
    <w:p w:rsidR="00000000" w:rsidRPr="00E9700C" w:rsidP="00E9700C"/>
    <w:sectPr w:rsidSect="00E970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0C" w:rsidRPr="00722B57" w:rsidP="00722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57" w:rsidP="00E97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B57" w:rsidP="00E97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2B57" w:rsidP="00E97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00C" w:rsidRPr="00722B57" w:rsidP="00722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57" w:rsidRPr="002D2AF8" w:rsidP="00E97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MSS027005 Contribute to improving environmental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722B57" w:rsidP="00E97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0C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6C6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6F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00C"/>
  </w:style>
  <w:style w:type="character" w:customStyle="1" w:styleId="Heading1Char">
    <w:name w:val="Heading 1 Char"/>
    <w:basedOn w:val="DefaultParagraphFont"/>
    <w:link w:val="Heading1"/>
    <w:rsid w:val="00E97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0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0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00C"/>
    <w:rPr>
      <w:b/>
      <w:spacing w:val="0"/>
    </w:rPr>
  </w:style>
  <w:style w:type="paragraph" w:customStyle="1" w:styleId="SuperTitle">
    <w:name w:val="SuperTitle"/>
    <w:basedOn w:val="Title"/>
    <w:rsid w:val="00E97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00C"/>
    <w:rPr>
      <w:i/>
    </w:rPr>
  </w:style>
  <w:style w:type="paragraph" w:styleId="Caption">
    <w:name w:val="caption"/>
    <w:basedOn w:val="BodyText"/>
    <w:next w:val="Normal"/>
    <w:qFormat/>
    <w:rsid w:val="00E97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00C"/>
  </w:style>
  <w:style w:type="paragraph" w:styleId="TableofFigures">
    <w:name w:val="table of figures"/>
    <w:basedOn w:val="Normal"/>
    <w:next w:val="Normal"/>
    <w:semiHidden/>
    <w:rsid w:val="00E97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00C"/>
    <w:pPr>
      <w:numPr>
        <w:numId w:val="11"/>
      </w:numPr>
    </w:pPr>
  </w:style>
  <w:style w:type="character" w:customStyle="1" w:styleId="WingdingSymbols">
    <w:name w:val="Wingding Symbols"/>
    <w:rsid w:val="00E9700C"/>
    <w:rPr>
      <w:rFonts w:ascii="Wingdings" w:hAnsi="Wingdings"/>
    </w:rPr>
  </w:style>
  <w:style w:type="paragraph" w:customStyle="1" w:styleId="TableHeading">
    <w:name w:val="Table Heading"/>
    <w:basedOn w:val="HeadingBase"/>
    <w:rsid w:val="00E97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00C"/>
    <w:rPr>
      <w:color w:val="0033CC"/>
      <w:u w:val="none"/>
    </w:rPr>
  </w:style>
  <w:style w:type="paragraph" w:customStyle="1" w:styleId="BodyTextRight">
    <w:name w:val="Body Text Right"/>
    <w:basedOn w:val="BodyText"/>
    <w:rsid w:val="00E97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00C"/>
    <w:rPr>
      <w:sz w:val="32"/>
    </w:rPr>
  </w:style>
  <w:style w:type="paragraph" w:customStyle="1" w:styleId="HeadingProcedure">
    <w:name w:val="Heading Procedure"/>
    <w:basedOn w:val="HeadingBase"/>
    <w:next w:val="Normal"/>
    <w:rsid w:val="00E97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00C"/>
    <w:pPr>
      <w:spacing w:before="60" w:after="60"/>
    </w:pPr>
  </w:style>
  <w:style w:type="paragraph" w:styleId="ListContinue">
    <w:name w:val="List Continue"/>
    <w:basedOn w:val="List"/>
    <w:rsid w:val="00E9700C"/>
    <w:pPr>
      <w:ind w:firstLine="0"/>
    </w:pPr>
  </w:style>
  <w:style w:type="paragraph" w:customStyle="1" w:styleId="ListNote">
    <w:name w:val="List Note"/>
    <w:basedOn w:val="List"/>
    <w:rsid w:val="00E97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00C"/>
    <w:rPr>
      <w:rFonts w:ascii="Courier New" w:hAnsi="Courier New"/>
    </w:rPr>
  </w:style>
  <w:style w:type="paragraph" w:customStyle="1" w:styleId="NoteBullet">
    <w:name w:val="Note Bullet"/>
    <w:basedOn w:val="Note"/>
    <w:rsid w:val="00E97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0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7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00C"/>
    <w:rPr>
      <w:b/>
      <w:smallCaps/>
    </w:rPr>
  </w:style>
  <w:style w:type="paragraph" w:customStyle="1" w:styleId="TableListNumber">
    <w:name w:val="Table List Number"/>
    <w:basedOn w:val="ListNumber"/>
    <w:rsid w:val="00E97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00C"/>
    <w:pPr>
      <w:numPr>
        <w:numId w:val="9"/>
      </w:numPr>
    </w:pPr>
  </w:style>
  <w:style w:type="paragraph" w:customStyle="1" w:styleId="ListAlpha2">
    <w:name w:val="List Alpha 2"/>
    <w:basedOn w:val="List2"/>
    <w:rsid w:val="00E9700C"/>
    <w:pPr>
      <w:numPr>
        <w:numId w:val="8"/>
      </w:numPr>
    </w:pPr>
  </w:style>
  <w:style w:type="paragraph" w:styleId="List2">
    <w:name w:val="List 2"/>
    <w:basedOn w:val="BodyText"/>
    <w:rsid w:val="00E97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0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0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00C"/>
    <w:pPr>
      <w:numPr>
        <w:numId w:val="4"/>
      </w:numPr>
    </w:pPr>
  </w:style>
  <w:style w:type="paragraph" w:styleId="ListContinue2">
    <w:name w:val="List Continue 2"/>
    <w:basedOn w:val="List2"/>
    <w:rsid w:val="00E9700C"/>
    <w:pPr>
      <w:ind w:firstLine="0"/>
    </w:pPr>
  </w:style>
  <w:style w:type="paragraph" w:styleId="ListContinue3">
    <w:name w:val="List Continue 3"/>
    <w:basedOn w:val="List3"/>
    <w:rsid w:val="00E9700C"/>
    <w:pPr>
      <w:ind w:left="1021" w:firstLine="0"/>
    </w:pPr>
  </w:style>
  <w:style w:type="paragraph" w:styleId="ListContinue4">
    <w:name w:val="List Continue 4"/>
    <w:basedOn w:val="List4"/>
    <w:rsid w:val="00E9700C"/>
    <w:pPr>
      <w:ind w:firstLine="0"/>
    </w:pPr>
  </w:style>
  <w:style w:type="paragraph" w:styleId="ListContinue5">
    <w:name w:val="List Continue 5"/>
    <w:basedOn w:val="List5"/>
    <w:rsid w:val="00E9700C"/>
    <w:pPr>
      <w:ind w:firstLine="0"/>
    </w:pPr>
  </w:style>
  <w:style w:type="paragraph" w:styleId="ListNumber3">
    <w:name w:val="List Number 3"/>
    <w:basedOn w:val="List3"/>
    <w:rsid w:val="00E9700C"/>
    <w:pPr>
      <w:numPr>
        <w:numId w:val="5"/>
      </w:numPr>
    </w:pPr>
  </w:style>
  <w:style w:type="paragraph" w:styleId="ListNumber4">
    <w:name w:val="List Number 4"/>
    <w:basedOn w:val="List4"/>
    <w:rsid w:val="00E9700C"/>
    <w:pPr>
      <w:numPr>
        <w:numId w:val="6"/>
      </w:numPr>
    </w:pPr>
  </w:style>
  <w:style w:type="paragraph" w:styleId="ListNumber5">
    <w:name w:val="List Number 5"/>
    <w:basedOn w:val="List5"/>
    <w:rsid w:val="00E9700C"/>
    <w:pPr>
      <w:numPr>
        <w:numId w:val="7"/>
      </w:numPr>
    </w:pPr>
  </w:style>
  <w:style w:type="paragraph" w:styleId="BlockText">
    <w:name w:val="Block Text"/>
    <w:basedOn w:val="Normal"/>
    <w:rsid w:val="00E97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00C"/>
    <w:rPr>
      <w:sz w:val="16"/>
      <w:vertAlign w:val="superscript"/>
    </w:rPr>
  </w:style>
  <w:style w:type="character" w:customStyle="1" w:styleId="Symbols">
    <w:name w:val="Symbols"/>
    <w:basedOn w:val="DefaultParagraphFont"/>
    <w:rsid w:val="00E9700C"/>
    <w:rPr>
      <w:rFonts w:ascii="Symbol" w:hAnsi="Symbol"/>
    </w:rPr>
  </w:style>
  <w:style w:type="character" w:customStyle="1" w:styleId="MenuOptions">
    <w:name w:val="Menu Options"/>
    <w:basedOn w:val="DefaultParagraphFont"/>
    <w:rsid w:val="00E97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00C"/>
    <w:rPr>
      <w:b/>
    </w:rPr>
  </w:style>
  <w:style w:type="character" w:customStyle="1" w:styleId="Underlined">
    <w:name w:val="Underlined"/>
    <w:basedOn w:val="DefaultParagraphFont"/>
    <w:rsid w:val="00E9700C"/>
    <w:rPr>
      <w:u w:val="single"/>
    </w:rPr>
  </w:style>
  <w:style w:type="paragraph" w:customStyle="1" w:styleId="TableBodyTextRight">
    <w:name w:val="Table Body Text Right"/>
    <w:basedOn w:val="TableBodyText"/>
    <w:rsid w:val="00E97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00C"/>
    <w:rPr>
      <w:sz w:val="18"/>
    </w:rPr>
  </w:style>
  <w:style w:type="paragraph" w:customStyle="1" w:styleId="BodySmallRight">
    <w:name w:val="Body Small Right"/>
    <w:basedOn w:val="BodyTextRight"/>
    <w:rsid w:val="00E9700C"/>
    <w:rPr>
      <w:sz w:val="18"/>
      <w:szCs w:val="18"/>
    </w:rPr>
  </w:style>
  <w:style w:type="paragraph" w:customStyle="1" w:styleId="MarginEdition">
    <w:name w:val="Margin Edition"/>
    <w:basedOn w:val="MarginNote"/>
    <w:rsid w:val="00E97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00C"/>
    <w:rPr>
      <w:sz w:val="2"/>
      <w:szCs w:val="2"/>
    </w:rPr>
  </w:style>
  <w:style w:type="character" w:customStyle="1" w:styleId="Small">
    <w:name w:val="Small"/>
    <w:basedOn w:val="DefaultParagraphFont"/>
    <w:rsid w:val="00E9700C"/>
    <w:rPr>
      <w:sz w:val="16"/>
    </w:rPr>
  </w:style>
  <w:style w:type="paragraph" w:customStyle="1" w:styleId="WideTable">
    <w:name w:val="Wide Table"/>
    <w:basedOn w:val="Normal"/>
    <w:rsid w:val="00E97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00C"/>
  </w:style>
  <w:style w:type="paragraph" w:styleId="Quote">
    <w:name w:val="Quote"/>
    <w:basedOn w:val="Heading1"/>
    <w:link w:val="QuoteChar"/>
    <w:qFormat/>
    <w:rsid w:val="00E97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00C"/>
    <w:pPr>
      <w:pageBreakBefore/>
    </w:pPr>
  </w:style>
  <w:style w:type="paragraph" w:customStyle="1" w:styleId="Border">
    <w:name w:val="Border"/>
    <w:basedOn w:val="Normal"/>
    <w:qFormat/>
    <w:rsid w:val="00E97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00C"/>
    <w:rPr>
      <w:u w:val="single"/>
    </w:rPr>
  </w:style>
  <w:style w:type="character" w:customStyle="1" w:styleId="BoldandItalics">
    <w:name w:val="Bold and Italics"/>
    <w:qFormat/>
    <w:rsid w:val="00E9700C"/>
    <w:rPr>
      <w:b/>
      <w:i/>
      <w:u w:val="none"/>
    </w:rPr>
  </w:style>
  <w:style w:type="paragraph" w:styleId="BalloonText">
    <w:name w:val="Balloon Text"/>
    <w:basedOn w:val="Normal"/>
    <w:link w:val="BalloonTextChar"/>
    <w:rsid w:val="00E97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00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5304</Characters>
  <Application>Microsoft Office Word</Application>
  <DocSecurity>0</DocSecurity>
  <Lines>107</Lines>
  <Paragraphs>57</Paragraphs>
  <ScaleCrop>false</ScaleCrop>
  <Company>Author-it Software Corporation Ltd.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MSS027005 Contribute to improving environmental performance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2018-10-24T01:40:00Z</dcterms:created>
  <dcterms:modified xsi:type="dcterms:W3CDTF">2018-10-24T01:40:00Z</dcterms:modified>
</cp:coreProperties>
</file>