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48A" w:rsidP="00665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MSS025034 Collect and evaluate groundwater data</w:t>
      </w:r>
      <w:r>
        <w:fldChar w:fldCharType="end"/>
      </w:r>
    </w:p>
    <w:p w:rsidR="0066548A" w:rsidP="0066548A">
      <w:pPr>
        <w:pStyle w:val="Version"/>
        <w:sectPr w:rsidSect="00166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42D" w:rsidP="0016642D">
      <w:pPr>
        <w:pStyle w:val="SuperHeading"/>
      </w:pPr>
      <w:r w:rsidRPr="0016642D">
        <w:t>Assessment Requirements for MSS025034 Collect and evaluate groundwater data</w:t>
      </w:r>
    </w:p>
    <w:p w:rsidR="00000000" w:rsidRPr="0016642D" w:rsidP="0016642D">
      <w:pPr>
        <w:pStyle w:val="Heading1"/>
      </w:pPr>
      <w:bookmarkStart w:id="1" w:name="O_1261091"/>
      <w:bookmarkEnd w:id="1"/>
      <w:r w:rsidRPr="0016642D">
        <w:t>Modification History</w:t>
      </w:r>
    </w:p>
    <w:p w:rsidR="00000000" w:rsidRPr="0016642D" w:rsidP="0066548A">
      <w:pPr>
        <w:pStyle w:val="BodyText"/>
      </w:pPr>
      <w:r w:rsidRPr="0016642D">
        <w:t xml:space="preserve">Release 1. Unit code changed. Application changed. Elements changed. </w:t>
      </w:r>
      <w:r w:rsidRPr="0016642D">
        <w:t>Performance Criteria changed. Foundation Skills populated. Assessment Requirements changed. Supersedes and is not equivalent to MSS025021 Collect and evaluate groundwater data.</w:t>
      </w:r>
    </w:p>
    <w:p w:rsidR="00000000" w:rsidRPr="0016642D" w:rsidP="0016642D">
      <w:pPr>
        <w:pStyle w:val="Heading1"/>
      </w:pPr>
      <w:bookmarkStart w:id="2" w:name="O_1261092"/>
      <w:bookmarkEnd w:id="2"/>
      <w:r w:rsidRPr="0016642D">
        <w:t>Performance Evidence</w:t>
      </w:r>
    </w:p>
    <w:p w:rsidR="00000000" w:rsidRPr="0016642D" w:rsidP="0066548A">
      <w:pPr>
        <w:pStyle w:val="BodyText"/>
      </w:pPr>
      <w:r w:rsidRPr="0016642D">
        <w:t>There must be evidence the candidate ha</w:t>
      </w:r>
      <w:r w:rsidRPr="0016642D">
        <w:t>s completed the tasks outlined in the elements and performance criteria of this unit, and demonstrated the ability to:</w:t>
      </w:r>
    </w:p>
    <w:p w:rsidR="00000000" w:rsidRPr="0016642D" w:rsidP="0016642D">
      <w:pPr>
        <w:pStyle w:val="ListBullet"/>
      </w:pPr>
      <w:r w:rsidRPr="0016642D">
        <w:t xml:space="preserve">collect and process groundwater samples and interpret the data from at least 3 disparate site locations </w:t>
      </w:r>
    </w:p>
    <w:p w:rsidR="00000000" w:rsidRPr="0016642D" w:rsidP="0016642D">
      <w:pPr>
        <w:pStyle w:val="ListBullet"/>
      </w:pPr>
      <w:r w:rsidRPr="0016642D">
        <w:t>monitor and prevent contaminati</w:t>
      </w:r>
      <w:r w:rsidRPr="0016642D">
        <w:t xml:space="preserve">on for establishment of at least one well or bore. </w:t>
      </w:r>
    </w:p>
    <w:p w:rsidR="00000000" w:rsidRPr="0016642D" w:rsidP="0066548A">
      <w:pPr>
        <w:pStyle w:val="BodyText"/>
      </w:pPr>
      <w:r w:rsidRPr="0016642D">
        <w:t>Note that, depending on the context and conditions, the bore or well may constitute one of the 3 site locations.</w:t>
      </w:r>
    </w:p>
    <w:p w:rsidR="00000000" w:rsidRPr="0016642D" w:rsidP="0016642D">
      <w:pPr>
        <w:pStyle w:val="Heading1"/>
      </w:pPr>
      <w:bookmarkStart w:id="3" w:name="O_1261093"/>
      <w:bookmarkEnd w:id="3"/>
      <w:r w:rsidRPr="0016642D">
        <w:t>Knowledge Evidence</w:t>
      </w:r>
    </w:p>
    <w:p w:rsidR="00000000" w:rsidRPr="0016642D" w:rsidP="0066548A">
      <w:pPr>
        <w:pStyle w:val="BodyText"/>
      </w:pPr>
      <w:r w:rsidRPr="0016642D">
        <w:t>There must be evidence the candidate has knowledge of</w:t>
      </w:r>
      <w:r w:rsidRPr="0016642D">
        <w:t>:</w:t>
      </w:r>
    </w:p>
    <w:p w:rsidR="00000000" w:rsidRPr="0016642D" w:rsidP="0016642D">
      <w:pPr>
        <w:pStyle w:val="ListBullet"/>
      </w:pPr>
      <w:r w:rsidRPr="0016642D">
        <w:t>terminology used to describe aquifers, drilling and construction of wells and bores, and groundwater sampling and testing procedures</w:t>
      </w:r>
    </w:p>
    <w:p w:rsidR="00000000" w:rsidRPr="0016642D" w:rsidP="0016642D">
      <w:pPr>
        <w:pStyle w:val="ListBullet"/>
      </w:pPr>
      <w:r w:rsidRPr="0016642D">
        <w:t>principles of representative sampling and field testing of common groundwater parameters</w:t>
      </w:r>
    </w:p>
    <w:p w:rsidR="00000000" w:rsidRPr="0016642D" w:rsidP="0016642D">
      <w:pPr>
        <w:pStyle w:val="ListBullet"/>
      </w:pPr>
      <w:r w:rsidRPr="0016642D">
        <w:t>preservation of the integrity o</w:t>
      </w:r>
      <w:r w:rsidRPr="0016642D">
        <w:t>f samples</w:t>
      </w:r>
    </w:p>
    <w:p w:rsidR="00000000" w:rsidRPr="0016642D" w:rsidP="0016642D">
      <w:pPr>
        <w:pStyle w:val="ListBullet"/>
      </w:pPr>
      <w:r w:rsidRPr="0016642D">
        <w:t>maintaining identification of samples relative to their source, workplace and legal traceability requirements</w:t>
      </w:r>
    </w:p>
    <w:p w:rsidR="00000000" w:rsidRPr="0016642D" w:rsidP="0016642D">
      <w:pPr>
        <w:pStyle w:val="ListBullet"/>
      </w:pPr>
      <w:r w:rsidRPr="0016642D">
        <w:t>typical values of groundwater parameters, common pollutants and contaminants</w:t>
      </w:r>
    </w:p>
    <w:p w:rsidR="00000000" w:rsidRPr="0016642D" w:rsidP="0016642D">
      <w:pPr>
        <w:pStyle w:val="ListBullet"/>
      </w:pPr>
      <w:r w:rsidRPr="0016642D">
        <w:t>common sources of contamination from drilling of bores or w</w:t>
      </w:r>
      <w:r w:rsidRPr="0016642D">
        <w:t>ells and related prevention measures</w:t>
      </w:r>
    </w:p>
    <w:p w:rsidR="00000000" w:rsidRPr="0016642D" w:rsidP="0016642D">
      <w:pPr>
        <w:pStyle w:val="ListBullet"/>
      </w:pPr>
      <w:r w:rsidRPr="0016642D">
        <w:t>links between quality control, quality assurance, quality management systems and sampling procedures</w:t>
      </w:r>
    </w:p>
    <w:p w:rsidR="00000000" w:rsidRPr="0016642D" w:rsidP="0016642D">
      <w:pPr>
        <w:pStyle w:val="ListBullet"/>
      </w:pPr>
      <w:r w:rsidRPr="0016642D">
        <w:t xml:space="preserve">uncertainty of measurement </w:t>
      </w:r>
    </w:p>
    <w:p w:rsidR="00000000" w:rsidRPr="0016642D" w:rsidP="0016642D">
      <w:pPr>
        <w:pStyle w:val="ListBullet"/>
      </w:pPr>
      <w:r w:rsidRPr="0016642D">
        <w:t>function and operating principles of flow-through pumps and multiprobes</w:t>
      </w:r>
    </w:p>
    <w:p w:rsidR="00000000" w:rsidRPr="0016642D" w:rsidP="0016642D">
      <w:pPr>
        <w:pStyle w:val="ListBullet"/>
      </w:pPr>
      <w:r w:rsidRPr="0016642D">
        <w:t>workplace procedur</w:t>
      </w:r>
      <w:r w:rsidRPr="0016642D">
        <w:t>es dealing with legislative requirements for the handling, labelling and transport of hazardous goods</w:t>
      </w:r>
    </w:p>
    <w:p w:rsidR="00000000" w:rsidRPr="0016642D" w:rsidP="0016642D">
      <w:pPr>
        <w:pStyle w:val="ListBullet"/>
      </w:pPr>
      <w:r w:rsidRPr="0016642D">
        <w:t>common site hazards and control measures </w:t>
      </w:r>
    </w:p>
    <w:p w:rsidR="00000000" w:rsidRPr="0016642D" w:rsidP="0016642D">
      <w:pPr>
        <w:pStyle w:val="ListBullet"/>
      </w:pPr>
      <w:r w:rsidRPr="0016642D">
        <w:t>health, safety and environment requirements, including field safety and survival principles and high-risk sites.</w:t>
      </w:r>
    </w:p>
    <w:p w:rsidR="00000000" w:rsidRPr="0016642D" w:rsidP="0016642D">
      <w:pPr>
        <w:pStyle w:val="AllowPageBreak"/>
      </w:pPr>
    </w:p>
    <w:p w:rsidR="00000000" w:rsidRPr="0016642D" w:rsidP="0016642D">
      <w:pPr>
        <w:pStyle w:val="Heading1"/>
      </w:pPr>
      <w:bookmarkStart w:id="4" w:name="O_1261094"/>
      <w:bookmarkEnd w:id="4"/>
      <w:r w:rsidRPr="0016642D">
        <w:t>Assessment Conditions</w:t>
      </w:r>
    </w:p>
    <w:p w:rsidR="00000000" w:rsidRPr="0016642D" w:rsidP="0066548A">
      <w:pPr>
        <w:pStyle w:val="BodyText"/>
      </w:pPr>
      <w:r w:rsidRPr="0016642D">
        <w:t>Skills must have been demonstrated in the workplace or in a simulated environment that reflects workplace conditions and contingencies. The following conditions must be met for this unit:</w:t>
      </w:r>
    </w:p>
    <w:p w:rsidR="00000000" w:rsidRPr="0016642D" w:rsidP="0016642D">
      <w:pPr>
        <w:pStyle w:val="ListBullet"/>
      </w:pPr>
      <w:r w:rsidRPr="0016642D">
        <w:t>use of suitable facilitie</w:t>
      </w:r>
      <w:r w:rsidRPr="0016642D">
        <w:t>s, equipment and resources, including:</w:t>
      </w:r>
    </w:p>
    <w:p w:rsidR="00000000" w:rsidRPr="0016642D" w:rsidP="0016642D">
      <w:pPr>
        <w:pStyle w:val="ListBullet2"/>
      </w:pPr>
      <w:r w:rsidRPr="0016642D">
        <w:t xml:space="preserve">sampling equipment, field test equipment, equipment manuals, digital camera, containers, reagents, consumables </w:t>
      </w:r>
    </w:p>
    <w:p w:rsidR="00000000" w:rsidRPr="0016642D" w:rsidP="0016642D">
      <w:pPr>
        <w:pStyle w:val="ListBullet2"/>
      </w:pPr>
      <w:r w:rsidRPr="0016642D">
        <w:t xml:space="preserve">safe work procedures and safety equipment </w:t>
      </w:r>
    </w:p>
    <w:p w:rsidR="00000000" w:rsidRPr="0016642D" w:rsidP="0016642D">
      <w:pPr>
        <w:pStyle w:val="ListBullet2"/>
      </w:pPr>
      <w:r w:rsidRPr="0016642D">
        <w:t>maps and site plans</w:t>
      </w:r>
    </w:p>
    <w:p w:rsidR="00000000" w:rsidRPr="0016642D" w:rsidP="0016642D">
      <w:pPr>
        <w:pStyle w:val="ListBullet"/>
      </w:pPr>
      <w:r w:rsidRPr="0016642D">
        <w:t xml:space="preserve">site sampling plans and test methods </w:t>
      </w:r>
    </w:p>
    <w:p w:rsidR="00000000" w:rsidRPr="0016642D" w:rsidP="0016642D">
      <w:pPr>
        <w:pStyle w:val="ListBullet"/>
      </w:pPr>
      <w:r>
        <w:t>•</w:t>
      </w:r>
      <w:r>
        <w:tab/>
      </w:r>
      <w:r w:rsidRPr="0016642D">
        <w:t>m</w:t>
      </w:r>
      <w:r w:rsidRPr="0016642D">
        <w:t>odelling of industry operating conditions, including:</w:t>
      </w:r>
    </w:p>
    <w:p w:rsidR="00000000" w:rsidRPr="0016642D" w:rsidP="0016642D">
      <w:pPr>
        <w:pStyle w:val="ListBullet2"/>
      </w:pPr>
      <w:r w:rsidRPr="0016642D">
        <w:t>access to site/s.</w:t>
      </w:r>
    </w:p>
    <w:p w:rsidR="00000000" w:rsidRPr="0016642D" w:rsidP="0066548A">
      <w:pPr>
        <w:pStyle w:val="BodyText"/>
      </w:pPr>
      <w:r w:rsidRPr="0016642D">
        <w:t>Assessors must satisfy the NVR/AQTF mandatory competency requirements for assessors.</w:t>
      </w:r>
    </w:p>
    <w:p w:rsidR="00000000" w:rsidRPr="0016642D" w:rsidP="0016642D">
      <w:pPr>
        <w:pStyle w:val="Heading1"/>
      </w:pPr>
      <w:bookmarkStart w:id="5" w:name="O_1261097"/>
      <w:bookmarkEnd w:id="5"/>
      <w:r w:rsidRPr="0016642D">
        <w:t>Links</w:t>
      </w:r>
    </w:p>
    <w:p w:rsidR="00000000" w:rsidRPr="0016642D" w:rsidP="0066548A">
      <w:pPr>
        <w:pStyle w:val="BodyText"/>
      </w:pPr>
      <w:r w:rsidRPr="00166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879B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642D" w:rsidP="0016642D"/>
    <w:sectPr w:rsidSect="00166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D" w:rsidRPr="0066548A" w:rsidP="00665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48A" w:rsidP="00166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48A" w:rsidP="00166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548A" w:rsidP="00166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42D" w:rsidRPr="0066548A" w:rsidP="00665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48A" w:rsidRPr="002D2AF8" w:rsidP="00166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MSS025034 Collect and evaluate groundwater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6548A" w:rsidP="00166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0D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28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0F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42D"/>
  </w:style>
  <w:style w:type="character" w:customStyle="1" w:styleId="Heading1Char">
    <w:name w:val="Heading 1 Char"/>
    <w:basedOn w:val="DefaultParagraphFont"/>
    <w:link w:val="Heading1"/>
    <w:rsid w:val="00166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42D"/>
    <w:rPr>
      <w:b/>
      <w:spacing w:val="0"/>
    </w:rPr>
  </w:style>
  <w:style w:type="paragraph" w:customStyle="1" w:styleId="SuperTitle">
    <w:name w:val="SuperTitle"/>
    <w:basedOn w:val="Title"/>
    <w:rsid w:val="00166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42D"/>
    <w:rPr>
      <w:i/>
    </w:rPr>
  </w:style>
  <w:style w:type="paragraph" w:styleId="Caption">
    <w:name w:val="caption"/>
    <w:basedOn w:val="BodyText"/>
    <w:next w:val="Normal"/>
    <w:qFormat/>
    <w:rsid w:val="00166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42D"/>
  </w:style>
  <w:style w:type="paragraph" w:styleId="TableofFigures">
    <w:name w:val="table of figures"/>
    <w:basedOn w:val="Normal"/>
    <w:next w:val="Normal"/>
    <w:semiHidden/>
    <w:rsid w:val="00166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42D"/>
    <w:rPr>
      <w:rFonts w:ascii="Wingdings" w:hAnsi="Wingdings"/>
    </w:rPr>
  </w:style>
  <w:style w:type="paragraph" w:customStyle="1" w:styleId="TableHeading">
    <w:name w:val="Table Heading"/>
    <w:basedOn w:val="HeadingBase"/>
    <w:rsid w:val="00166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42D"/>
    <w:rPr>
      <w:color w:val="0033CC"/>
      <w:u w:val="none"/>
    </w:rPr>
  </w:style>
  <w:style w:type="paragraph" w:customStyle="1" w:styleId="BodyTextRight">
    <w:name w:val="Body Text Right"/>
    <w:basedOn w:val="BodyText"/>
    <w:rsid w:val="00166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42D"/>
    <w:rPr>
      <w:sz w:val="32"/>
    </w:rPr>
  </w:style>
  <w:style w:type="paragraph" w:customStyle="1" w:styleId="HeadingProcedure">
    <w:name w:val="Heading Procedure"/>
    <w:basedOn w:val="HeadingBase"/>
    <w:next w:val="Normal"/>
    <w:rsid w:val="00166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42D"/>
    <w:pPr>
      <w:spacing w:before="60" w:after="60"/>
    </w:pPr>
  </w:style>
  <w:style w:type="paragraph" w:styleId="ListContinue">
    <w:name w:val="List Continue"/>
    <w:basedOn w:val="List"/>
    <w:rsid w:val="0016642D"/>
    <w:pPr>
      <w:ind w:firstLine="0"/>
    </w:pPr>
  </w:style>
  <w:style w:type="paragraph" w:customStyle="1" w:styleId="ListNote">
    <w:name w:val="List Note"/>
    <w:basedOn w:val="List"/>
    <w:rsid w:val="00166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42D"/>
    <w:rPr>
      <w:rFonts w:ascii="Courier New" w:hAnsi="Courier New"/>
    </w:rPr>
  </w:style>
  <w:style w:type="paragraph" w:customStyle="1" w:styleId="NoteBullet">
    <w:name w:val="Note Bullet"/>
    <w:basedOn w:val="Note"/>
    <w:rsid w:val="00166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42D"/>
    <w:rPr>
      <w:b/>
      <w:smallCaps/>
    </w:rPr>
  </w:style>
  <w:style w:type="paragraph" w:customStyle="1" w:styleId="TableListNumber">
    <w:name w:val="Table List Number"/>
    <w:basedOn w:val="ListNumber"/>
    <w:rsid w:val="00166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42D"/>
    <w:pPr>
      <w:numPr>
        <w:numId w:val="9"/>
      </w:numPr>
    </w:pPr>
  </w:style>
  <w:style w:type="paragraph" w:customStyle="1" w:styleId="ListAlpha2">
    <w:name w:val="List Alpha 2"/>
    <w:basedOn w:val="List2"/>
    <w:rsid w:val="0016642D"/>
    <w:pPr>
      <w:numPr>
        <w:numId w:val="8"/>
      </w:numPr>
    </w:pPr>
  </w:style>
  <w:style w:type="paragraph" w:styleId="List2">
    <w:name w:val="List 2"/>
    <w:basedOn w:val="BodyText"/>
    <w:rsid w:val="00166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42D"/>
    <w:pPr>
      <w:numPr>
        <w:numId w:val="4"/>
      </w:numPr>
    </w:pPr>
  </w:style>
  <w:style w:type="paragraph" w:styleId="ListContinue2">
    <w:name w:val="List Continue 2"/>
    <w:basedOn w:val="List2"/>
    <w:rsid w:val="0016642D"/>
    <w:pPr>
      <w:ind w:firstLine="0"/>
    </w:pPr>
  </w:style>
  <w:style w:type="paragraph" w:styleId="ListContinue3">
    <w:name w:val="List Continue 3"/>
    <w:basedOn w:val="List3"/>
    <w:rsid w:val="0016642D"/>
    <w:pPr>
      <w:ind w:left="1021" w:firstLine="0"/>
    </w:pPr>
  </w:style>
  <w:style w:type="paragraph" w:styleId="ListContinue4">
    <w:name w:val="List Continue 4"/>
    <w:basedOn w:val="List4"/>
    <w:rsid w:val="0016642D"/>
    <w:pPr>
      <w:ind w:firstLine="0"/>
    </w:pPr>
  </w:style>
  <w:style w:type="paragraph" w:styleId="ListContinue5">
    <w:name w:val="List Continue 5"/>
    <w:basedOn w:val="List5"/>
    <w:rsid w:val="0016642D"/>
    <w:pPr>
      <w:ind w:firstLine="0"/>
    </w:pPr>
  </w:style>
  <w:style w:type="paragraph" w:styleId="ListNumber3">
    <w:name w:val="List Number 3"/>
    <w:basedOn w:val="List3"/>
    <w:rsid w:val="0016642D"/>
    <w:pPr>
      <w:numPr>
        <w:numId w:val="5"/>
      </w:numPr>
    </w:pPr>
  </w:style>
  <w:style w:type="paragraph" w:styleId="ListNumber4">
    <w:name w:val="List Number 4"/>
    <w:basedOn w:val="List4"/>
    <w:rsid w:val="0016642D"/>
    <w:pPr>
      <w:numPr>
        <w:numId w:val="6"/>
      </w:numPr>
    </w:pPr>
  </w:style>
  <w:style w:type="paragraph" w:styleId="ListNumber5">
    <w:name w:val="List Number 5"/>
    <w:basedOn w:val="List5"/>
    <w:rsid w:val="0016642D"/>
    <w:pPr>
      <w:numPr>
        <w:numId w:val="7"/>
      </w:numPr>
    </w:pPr>
  </w:style>
  <w:style w:type="paragraph" w:styleId="BlockText">
    <w:name w:val="Block Text"/>
    <w:basedOn w:val="Normal"/>
    <w:rsid w:val="00166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42D"/>
    <w:rPr>
      <w:sz w:val="16"/>
      <w:vertAlign w:val="superscript"/>
    </w:rPr>
  </w:style>
  <w:style w:type="character" w:customStyle="1" w:styleId="Symbols">
    <w:name w:val="Symbols"/>
    <w:basedOn w:val="DefaultParagraphFont"/>
    <w:rsid w:val="0016642D"/>
    <w:rPr>
      <w:rFonts w:ascii="Symbol" w:hAnsi="Symbol"/>
    </w:rPr>
  </w:style>
  <w:style w:type="character" w:customStyle="1" w:styleId="MenuOptions">
    <w:name w:val="Menu Options"/>
    <w:basedOn w:val="DefaultParagraphFont"/>
    <w:rsid w:val="00166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42D"/>
    <w:rPr>
      <w:b/>
    </w:rPr>
  </w:style>
  <w:style w:type="character" w:customStyle="1" w:styleId="Underlined">
    <w:name w:val="Underlined"/>
    <w:basedOn w:val="DefaultParagraphFont"/>
    <w:rsid w:val="0016642D"/>
    <w:rPr>
      <w:u w:val="single"/>
    </w:rPr>
  </w:style>
  <w:style w:type="paragraph" w:customStyle="1" w:styleId="TableBodyTextRight">
    <w:name w:val="Table Body Text Right"/>
    <w:basedOn w:val="TableBodyText"/>
    <w:rsid w:val="00166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42D"/>
    <w:rPr>
      <w:sz w:val="18"/>
    </w:rPr>
  </w:style>
  <w:style w:type="paragraph" w:customStyle="1" w:styleId="BodySmallRight">
    <w:name w:val="Body Small Right"/>
    <w:basedOn w:val="BodyTextRight"/>
    <w:rsid w:val="0016642D"/>
    <w:rPr>
      <w:sz w:val="18"/>
      <w:szCs w:val="18"/>
    </w:rPr>
  </w:style>
  <w:style w:type="paragraph" w:customStyle="1" w:styleId="MarginEdition">
    <w:name w:val="Margin Edition"/>
    <w:basedOn w:val="MarginNote"/>
    <w:rsid w:val="00166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42D"/>
    <w:rPr>
      <w:sz w:val="2"/>
      <w:szCs w:val="2"/>
    </w:rPr>
  </w:style>
  <w:style w:type="character" w:customStyle="1" w:styleId="Small">
    <w:name w:val="Small"/>
    <w:basedOn w:val="DefaultParagraphFont"/>
    <w:rsid w:val="0016642D"/>
    <w:rPr>
      <w:sz w:val="16"/>
    </w:rPr>
  </w:style>
  <w:style w:type="paragraph" w:customStyle="1" w:styleId="WideTable">
    <w:name w:val="Wide Table"/>
    <w:basedOn w:val="Normal"/>
    <w:rsid w:val="00166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42D"/>
  </w:style>
  <w:style w:type="paragraph" w:styleId="Quote">
    <w:name w:val="Quote"/>
    <w:basedOn w:val="Heading1"/>
    <w:link w:val="QuoteChar"/>
    <w:qFormat/>
    <w:rsid w:val="00166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42D"/>
    <w:pPr>
      <w:pageBreakBefore/>
    </w:pPr>
  </w:style>
  <w:style w:type="paragraph" w:customStyle="1" w:styleId="Border">
    <w:name w:val="Border"/>
    <w:basedOn w:val="Normal"/>
    <w:qFormat/>
    <w:rsid w:val="00166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42D"/>
    <w:rPr>
      <w:u w:val="single"/>
    </w:rPr>
  </w:style>
  <w:style w:type="character" w:customStyle="1" w:styleId="BoldandItalics">
    <w:name w:val="Bold and Italics"/>
    <w:qFormat/>
    <w:rsid w:val="0016642D"/>
    <w:rPr>
      <w:b/>
      <w:i/>
      <w:u w:val="none"/>
    </w:rPr>
  </w:style>
  <w:style w:type="paragraph" w:styleId="BalloonText">
    <w:name w:val="Balloon Text"/>
    <w:basedOn w:val="Normal"/>
    <w:link w:val="BalloonTextChar"/>
    <w:rsid w:val="00166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42D"/>
    <w:pPr>
      <w:spacing w:before="0" w:after="0"/>
    </w:pPr>
  </w:style>
  <w:style w:type="paragraph" w:customStyle="1" w:styleId="BodyTextBold">
    <w:name w:val="Body Text Bold"/>
    <w:basedOn w:val="BodyText"/>
    <w:qFormat/>
    <w:rsid w:val="0016642D"/>
    <w:rPr>
      <w:b/>
    </w:rPr>
  </w:style>
  <w:style w:type="character" w:styleId="Hyperlink">
    <w:name w:val="Hyperlink"/>
    <w:basedOn w:val="DefaultParagraphFont"/>
    <w:uiPriority w:val="99"/>
    <w:unhideWhenUsed/>
    <w:rsid w:val="00665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2591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MSS025034 Collect and evaluate groundwater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