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84F" w:rsidP="00E14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MSS025029 Perform sampling and testing for site contamination</w:t>
      </w:r>
      <w:r>
        <w:fldChar w:fldCharType="end"/>
      </w:r>
    </w:p>
    <w:p w:rsidR="00E1484F" w:rsidP="00E1484F">
      <w:pPr>
        <w:pStyle w:val="Version"/>
        <w:sectPr w:rsidSect="00336D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DEA" w:rsidP="00336DEA">
      <w:pPr>
        <w:pStyle w:val="SuperHeading"/>
      </w:pPr>
      <w:r w:rsidRPr="00336DEA">
        <w:t>Assessment Requirements for MSS025029 Perform sampling and testing for site contamination</w:t>
      </w:r>
    </w:p>
    <w:p w:rsidR="00000000" w:rsidRPr="00336DEA" w:rsidP="00336DEA">
      <w:pPr>
        <w:pStyle w:val="Heading1"/>
      </w:pPr>
      <w:bookmarkStart w:id="1" w:name="O_1260333"/>
      <w:bookmarkEnd w:id="1"/>
      <w:r w:rsidRPr="00336DEA">
        <w:t>Modification History</w:t>
      </w:r>
    </w:p>
    <w:p w:rsidR="00000000" w:rsidRPr="00336DEA" w:rsidP="00E1484F">
      <w:pPr>
        <w:pStyle w:val="BodyText"/>
      </w:pPr>
      <w:r w:rsidRPr="00336DEA">
        <w:t>Release 1. Unit code changed. Unit title changed. Application chang</w:t>
      </w:r>
      <w:r w:rsidRPr="00336DEA">
        <w:t xml:space="preserve">ed. Performance Criteria changed. Foundation Skills populated. Range of Conditions removed. Assessment Requirements changed. Supersedes and is equivalent to MSS025014 Perform sampling and testing of contaminated sites. </w:t>
      </w:r>
    </w:p>
    <w:p w:rsidR="00000000" w:rsidRPr="00336DEA" w:rsidP="00336DEA">
      <w:pPr>
        <w:pStyle w:val="Heading1"/>
      </w:pPr>
      <w:bookmarkStart w:id="2" w:name="O_1260334"/>
      <w:bookmarkEnd w:id="2"/>
      <w:r w:rsidRPr="00336DEA">
        <w:t>Performance Evide</w:t>
      </w:r>
      <w:r w:rsidRPr="00336DEA">
        <w:t>nce</w:t>
      </w:r>
    </w:p>
    <w:p w:rsidR="00000000" w:rsidRPr="00336DEA" w:rsidP="00E1484F">
      <w:pPr>
        <w:pStyle w:val="BodyText"/>
      </w:pPr>
      <w:r w:rsidRPr="00336DEA">
        <w:t>There must be evidence the candidate has completed the tasks outlined in the elements and performance criteria of this unit, and demonstrated the ability to:</w:t>
      </w:r>
    </w:p>
    <w:p w:rsidR="00000000" w:rsidRPr="00336DEA" w:rsidP="00336DEA">
      <w:pPr>
        <w:pStyle w:val="ListBullet"/>
      </w:pPr>
      <w:r w:rsidRPr="00336DEA">
        <w:t>identify and document key features and potential contamination hazards of at least one site</w:t>
      </w:r>
    </w:p>
    <w:p w:rsidR="00000000" w:rsidRPr="00336DEA" w:rsidP="00336DEA">
      <w:pPr>
        <w:pStyle w:val="ListBullet"/>
      </w:pPr>
      <w:r w:rsidRPr="00336DEA">
        <w:t>c</w:t>
      </w:r>
      <w:r w:rsidRPr="00336DEA">
        <w:t>ollect, preserve and label a set of representative samples for at least one site in accordance with sampling plan </w:t>
      </w:r>
    </w:p>
    <w:p w:rsidR="00000000" w:rsidRPr="00336DEA" w:rsidP="00336DEA">
      <w:pPr>
        <w:pStyle w:val="ListBullet"/>
      </w:pPr>
      <w:r w:rsidRPr="00336DEA">
        <w:t>prepare (sub)samples and conduct at least one test and analysis, using specified test methods, for each of the following:</w:t>
      </w:r>
    </w:p>
    <w:p w:rsidR="00000000" w:rsidRPr="00336DEA" w:rsidP="00336DEA">
      <w:pPr>
        <w:pStyle w:val="ListBullet2"/>
      </w:pPr>
      <w:r w:rsidRPr="00336DEA">
        <w:t>air</w:t>
      </w:r>
    </w:p>
    <w:p w:rsidR="00000000" w:rsidRPr="00336DEA" w:rsidP="00336DEA">
      <w:pPr>
        <w:pStyle w:val="ListBullet2"/>
      </w:pPr>
      <w:r w:rsidRPr="00336DEA">
        <w:t>water</w:t>
      </w:r>
    </w:p>
    <w:p w:rsidR="00000000" w:rsidRPr="00336DEA" w:rsidP="00336DEA">
      <w:pPr>
        <w:pStyle w:val="ListBullet2"/>
      </w:pPr>
      <w:r w:rsidRPr="00336DEA">
        <w:t>soil</w:t>
      </w:r>
    </w:p>
    <w:p w:rsidR="00000000" w:rsidRPr="00336DEA" w:rsidP="00336DEA">
      <w:pPr>
        <w:pStyle w:val="ListBullet"/>
      </w:pPr>
      <w:r w:rsidRPr="00336DEA">
        <w:t>apply cleaning and decontamination procedures for each test</w:t>
      </w:r>
    </w:p>
    <w:p w:rsidR="00000000" w:rsidRPr="00336DEA" w:rsidP="00336DEA">
      <w:pPr>
        <w:pStyle w:val="ListBullet"/>
      </w:pPr>
      <w:r w:rsidRPr="00336DEA">
        <w:t>interpret trends in data and/or results and report atypical results on at least 3 occasions.</w:t>
      </w:r>
    </w:p>
    <w:p w:rsidR="00000000" w:rsidRPr="00336DEA" w:rsidP="00336DEA">
      <w:pPr>
        <w:pStyle w:val="AllowPageBreak"/>
      </w:pPr>
    </w:p>
    <w:p w:rsidR="00000000" w:rsidRPr="00336DEA" w:rsidP="00336DEA">
      <w:pPr>
        <w:pStyle w:val="Heading1"/>
      </w:pPr>
      <w:bookmarkStart w:id="3" w:name="O_1260335"/>
      <w:bookmarkEnd w:id="3"/>
      <w:r w:rsidRPr="00336DEA">
        <w:t>Knowledge Evidence</w:t>
      </w:r>
    </w:p>
    <w:p w:rsidR="00000000" w:rsidRPr="00336DEA" w:rsidP="00E1484F">
      <w:pPr>
        <w:pStyle w:val="BodyText"/>
      </w:pPr>
      <w:r w:rsidRPr="00336DEA">
        <w:t>There must be evidence the candidate has knowledge of:</w:t>
      </w:r>
    </w:p>
    <w:p w:rsidR="00000000" w:rsidRPr="00336DEA" w:rsidP="00336DEA">
      <w:pPr>
        <w:pStyle w:val="ListBullet"/>
      </w:pPr>
      <w:r w:rsidRPr="00336DEA">
        <w:t>scientifi</w:t>
      </w:r>
      <w:r w:rsidRPr="00336DEA">
        <w:t>c terminology covering the sampling and testing of air, water and soil at potentially contaminated sites as relevant to job role</w:t>
      </w:r>
    </w:p>
    <w:p w:rsidR="00000000" w:rsidRPr="00336DEA" w:rsidP="00336DEA">
      <w:pPr>
        <w:pStyle w:val="ListBullet"/>
      </w:pPr>
      <w:r w:rsidRPr="00336DEA">
        <w:t>overview of legislation, regulations, standards and codes of practice related to contaminated sites, and threshold levels or en</w:t>
      </w:r>
      <w:r w:rsidRPr="00336DEA">
        <w:t>vironmental quality concentration limits for contaminants</w:t>
      </w:r>
    </w:p>
    <w:p w:rsidR="00000000" w:rsidRPr="00336DEA" w:rsidP="00336DEA">
      <w:pPr>
        <w:pStyle w:val="ListBullet"/>
      </w:pPr>
      <w:r w:rsidRPr="00336DEA">
        <w:t>common site hazard and risks, risk assessment techniques and use of risk cards</w:t>
      </w:r>
    </w:p>
    <w:p w:rsidR="00000000" w:rsidRPr="00336DEA" w:rsidP="00336DEA">
      <w:pPr>
        <w:pStyle w:val="ListBullet"/>
      </w:pPr>
      <w:r w:rsidRPr="00336DEA">
        <w:t>properties and health risks associated with groups of contaminants including at least 2 examples from each of the follo</w:t>
      </w:r>
      <w:r w:rsidRPr="00336DEA">
        <w:t>wing groups:</w:t>
      </w:r>
    </w:p>
    <w:p w:rsidR="00000000" w:rsidRPr="00336DEA" w:rsidP="00336DEA">
      <w:pPr>
        <w:pStyle w:val="ListBullet2"/>
      </w:pPr>
      <w:r w:rsidRPr="00336DEA">
        <w:t>particulates</w:t>
      </w:r>
    </w:p>
    <w:p w:rsidR="00000000" w:rsidRPr="00336DEA" w:rsidP="00336DEA">
      <w:pPr>
        <w:pStyle w:val="ListBullet2"/>
      </w:pPr>
      <w:r w:rsidRPr="00336DEA">
        <w:t>chemicals</w:t>
      </w:r>
    </w:p>
    <w:p w:rsidR="00000000" w:rsidRPr="00336DEA" w:rsidP="00336DEA">
      <w:pPr>
        <w:pStyle w:val="ListBullet2"/>
      </w:pPr>
      <w:r w:rsidRPr="00336DEA">
        <w:t>materials and substances</w:t>
      </w:r>
    </w:p>
    <w:p w:rsidR="00000000" w:rsidRPr="00336DEA" w:rsidP="00336DEA">
      <w:pPr>
        <w:pStyle w:val="ListBullet2"/>
      </w:pPr>
      <w:r w:rsidRPr="00336DEA">
        <w:t>gases/vapours</w:t>
      </w:r>
    </w:p>
    <w:p w:rsidR="00000000" w:rsidRPr="00336DEA" w:rsidP="00336DEA">
      <w:pPr>
        <w:pStyle w:val="ListBullet"/>
      </w:pPr>
      <w:r w:rsidRPr="00336DEA">
        <w:t xml:space="preserve">sampling plans for contaminated sites, including concepts of preliminary sampling, non-targeted/grid sampling, and targeted/judgemental sampling </w:t>
      </w:r>
    </w:p>
    <w:p w:rsidR="00000000" w:rsidRPr="00336DEA" w:rsidP="00336DEA">
      <w:pPr>
        <w:pStyle w:val="ListBullet"/>
      </w:pPr>
      <w:r w:rsidRPr="00336DEA">
        <w:t>types of sampling strategies for gas, water and soil</w:t>
      </w:r>
    </w:p>
    <w:p w:rsidR="00000000" w:rsidRPr="00336DEA" w:rsidP="00336DEA">
      <w:pPr>
        <w:pStyle w:val="ListBullet"/>
      </w:pPr>
      <w:r w:rsidRPr="00336DEA">
        <w:t xml:space="preserve">functions and operating principles of, and sampling equipment related to, test equipment and/or instruments including at least 2 from each of the following:  </w:t>
      </w:r>
    </w:p>
    <w:p w:rsidR="00000000" w:rsidRPr="00336DEA" w:rsidP="00336DEA">
      <w:pPr>
        <w:pStyle w:val="ListBullet2"/>
      </w:pPr>
      <w:r w:rsidRPr="00336DEA">
        <w:t>air testing</w:t>
      </w:r>
    </w:p>
    <w:p w:rsidR="00000000" w:rsidRPr="00336DEA" w:rsidP="00336DEA">
      <w:pPr>
        <w:pStyle w:val="ListBullet2"/>
      </w:pPr>
      <w:r w:rsidRPr="00336DEA">
        <w:t>water testing</w:t>
      </w:r>
    </w:p>
    <w:p w:rsidR="00000000" w:rsidRPr="00336DEA" w:rsidP="00336DEA">
      <w:pPr>
        <w:pStyle w:val="ListBullet2"/>
      </w:pPr>
      <w:r w:rsidRPr="00336DEA">
        <w:t>soil testing</w:t>
      </w:r>
    </w:p>
    <w:p w:rsidR="00000000" w:rsidRPr="00336DEA" w:rsidP="00336DEA">
      <w:pPr>
        <w:pStyle w:val="ListBullet"/>
      </w:pPr>
      <w:r w:rsidRPr="00336DEA">
        <w:t>scr</w:t>
      </w:r>
      <w:r w:rsidRPr="00336DEA">
        <w:t>eening of gas/vapours, soil and water samples using:</w:t>
      </w:r>
    </w:p>
    <w:p w:rsidR="00000000" w:rsidRPr="00336DEA" w:rsidP="00336DEA">
      <w:pPr>
        <w:pStyle w:val="ListBullet2"/>
      </w:pPr>
      <w:r w:rsidRPr="00336DEA">
        <w:t>colour and texture</w:t>
      </w:r>
    </w:p>
    <w:p w:rsidR="00000000" w:rsidRPr="00336DEA" w:rsidP="00336DEA">
      <w:pPr>
        <w:pStyle w:val="ListBullet2"/>
      </w:pPr>
      <w:r w:rsidRPr="00336DEA">
        <w:t>bioluminescence/toxicity test kits</w:t>
      </w:r>
    </w:p>
    <w:p w:rsidR="00000000" w:rsidRPr="00336DEA" w:rsidP="00336DEA">
      <w:pPr>
        <w:pStyle w:val="ListBullet2"/>
      </w:pPr>
      <w:r w:rsidRPr="00336DEA">
        <w:t>colorimetric methods and dye shake tests</w:t>
      </w:r>
    </w:p>
    <w:p w:rsidR="00000000" w:rsidRPr="00336DEA" w:rsidP="00336DEA">
      <w:pPr>
        <w:pStyle w:val="ListBullet2"/>
      </w:pPr>
      <w:r w:rsidRPr="00336DEA">
        <w:t>pH, electrical conductivity, redox potential, temperature, dissolved oxygen and ammonia concentration</w:t>
      </w:r>
    </w:p>
    <w:p w:rsidR="00000000" w:rsidRPr="00336DEA" w:rsidP="00336DEA">
      <w:pPr>
        <w:pStyle w:val="ListBullet2"/>
      </w:pPr>
      <w:r w:rsidRPr="00336DEA">
        <w:t>photo</w:t>
      </w:r>
      <w:r w:rsidRPr="00336DEA">
        <w:t xml:space="preserve"> ionisation detectors (PID)</w:t>
      </w:r>
    </w:p>
    <w:p w:rsidR="00000000" w:rsidRPr="00336DEA" w:rsidP="00336DEA">
      <w:pPr>
        <w:pStyle w:val="ListBullet2"/>
      </w:pPr>
      <w:r w:rsidRPr="00336DEA">
        <w:t>flame ionisation detectors (FID)</w:t>
      </w:r>
    </w:p>
    <w:p w:rsidR="00000000" w:rsidRPr="00336DEA" w:rsidP="00336DEA">
      <w:pPr>
        <w:pStyle w:val="ListBullet2"/>
      </w:pPr>
      <w:r w:rsidRPr="00336DEA">
        <w:t>gas detectors</w:t>
      </w:r>
    </w:p>
    <w:p w:rsidR="00000000" w:rsidRPr="00336DEA" w:rsidP="00336DEA">
      <w:pPr>
        <w:pStyle w:val="ListBullet2"/>
      </w:pPr>
      <w:r w:rsidRPr="00336DEA">
        <w:t>portable infrared analysers for methane and carbon monoxide (CO)</w:t>
      </w:r>
    </w:p>
    <w:p w:rsidR="00000000" w:rsidRPr="00336DEA" w:rsidP="00336DEA">
      <w:pPr>
        <w:pStyle w:val="ListBullet2"/>
      </w:pPr>
      <w:r w:rsidRPr="00336DEA">
        <w:t>portable X-ray fluorescence spectrum analyses</w:t>
      </w:r>
    </w:p>
    <w:p w:rsidR="00000000" w:rsidRPr="00336DEA" w:rsidP="00336DEA">
      <w:pPr>
        <w:pStyle w:val="ListBullet2"/>
      </w:pPr>
      <w:r w:rsidRPr="00336DEA">
        <w:t>field gas chromatography</w:t>
      </w:r>
    </w:p>
    <w:p w:rsidR="00000000" w:rsidRPr="00336DEA" w:rsidP="00336DEA">
      <w:pPr>
        <w:pStyle w:val="ListBullet2"/>
      </w:pPr>
      <w:r w:rsidRPr="00336DEA">
        <w:t>measurement of radiation</w:t>
      </w:r>
    </w:p>
    <w:p w:rsidR="00000000" w:rsidRPr="00336DEA" w:rsidP="00336DEA">
      <w:pPr>
        <w:pStyle w:val="ListBullet"/>
      </w:pPr>
      <w:r w:rsidRPr="00336DEA">
        <w:t>common procedure/equipment problems leading to atypical data/results</w:t>
      </w:r>
    </w:p>
    <w:p w:rsidR="00000000" w:rsidRPr="00336DEA" w:rsidP="00336DEA">
      <w:pPr>
        <w:pStyle w:val="ListBullet"/>
      </w:pPr>
      <w:r w:rsidRPr="00336DEA">
        <w:t>traceability and/or chain of custody of samples and management of large volumes of data</w:t>
      </w:r>
    </w:p>
    <w:p w:rsidR="00000000" w:rsidRPr="00336DEA" w:rsidP="00336DEA">
      <w:pPr>
        <w:pStyle w:val="ListBullet"/>
      </w:pPr>
      <w:r w:rsidRPr="00336DEA">
        <w:t xml:space="preserve">calculation of measurement uncertainty as relevant to tests being performed </w:t>
      </w:r>
    </w:p>
    <w:p w:rsidR="00000000" w:rsidRPr="00336DEA" w:rsidP="00336DEA">
      <w:pPr>
        <w:pStyle w:val="ListBullet"/>
      </w:pPr>
      <w:r w:rsidRPr="00336DEA">
        <w:t>use of replicates, fie</w:t>
      </w:r>
      <w:r w:rsidRPr="00336DEA">
        <w:t>ld and trip (transport) blanks, rinsate blanks and background samples</w:t>
      </w:r>
    </w:p>
    <w:p w:rsidR="00000000" w:rsidRPr="00336DEA" w:rsidP="00336DEA">
      <w:pPr>
        <w:pStyle w:val="ListBullet"/>
      </w:pPr>
      <w:r w:rsidRPr="00336DEA">
        <w:t>data processing, recording and reporting procedures</w:t>
      </w:r>
    </w:p>
    <w:p w:rsidR="00E1484F" w:rsidP="00336DEA">
      <w:pPr>
        <w:pStyle w:val="ListBullet"/>
      </w:pPr>
      <w:r w:rsidRPr="00336DEA">
        <w:t>hazards, health, safety and environmental requirements relevant to site activities undertaken; use of safe work methods, safety equipm</w:t>
      </w:r>
      <w:r w:rsidRPr="00336DEA">
        <w:t>ent and personal protective equipment (PPE).</w:t>
      </w:r>
    </w:p>
    <w:p w:rsidR="00E1484F" w:rsidP="00336DEA">
      <w:pPr>
        <w:pStyle w:val="ListBullet"/>
      </w:pPr>
    </w:p>
    <w:p w:rsidR="00000000" w:rsidRPr="00336DEA" w:rsidP="00336DEA">
      <w:pPr>
        <w:pStyle w:val="Heading1"/>
      </w:pPr>
      <w:bookmarkStart w:id="4" w:name="O_1260336"/>
      <w:bookmarkEnd w:id="4"/>
      <w:r w:rsidRPr="00336DEA">
        <w:t>Assessment Conditions</w:t>
      </w:r>
    </w:p>
    <w:p w:rsidR="00000000" w:rsidRPr="00336DEA" w:rsidP="00E1484F">
      <w:pPr>
        <w:pStyle w:val="BodyText"/>
      </w:pPr>
      <w:r w:rsidRPr="00336DEA">
        <w:t xml:space="preserve">Skills must have been demonstrated in the workplace or in a simulated environment that reflects workplace conditions and contingencies. The following conditions </w:t>
      </w:r>
      <w:r w:rsidRPr="00336DEA">
        <w:t>must be met for this unit:</w:t>
      </w:r>
    </w:p>
    <w:p w:rsidR="00000000" w:rsidRPr="00336DEA" w:rsidP="00336DEA">
      <w:pPr>
        <w:pStyle w:val="ListBullet"/>
      </w:pPr>
      <w:r w:rsidRPr="00336DEA">
        <w:t>use of suitable facilities, equipment and resources, including:</w:t>
      </w:r>
    </w:p>
    <w:p w:rsidR="00000000" w:rsidRPr="00336DEA" w:rsidP="00336DEA">
      <w:pPr>
        <w:pStyle w:val="ListBullet2"/>
      </w:pPr>
      <w:r w:rsidRPr="00336DEA">
        <w:t>sampling plan </w:t>
      </w:r>
    </w:p>
    <w:p w:rsidR="00000000" w:rsidRPr="00336DEA" w:rsidP="00336DEA">
      <w:pPr>
        <w:pStyle w:val="ListBullet2"/>
      </w:pPr>
      <w:r w:rsidRPr="00336DEA">
        <w:t>test methods and/or procedures </w:t>
      </w:r>
    </w:p>
    <w:p w:rsidR="00000000" w:rsidRPr="00336DEA" w:rsidP="00336DEA">
      <w:pPr>
        <w:pStyle w:val="ListBullet2"/>
      </w:pPr>
      <w:r w:rsidRPr="00336DEA">
        <w:t>instrument calibration procedures, where relevant</w:t>
      </w:r>
    </w:p>
    <w:p w:rsidR="00000000" w:rsidRPr="00336DEA" w:rsidP="00336DEA">
      <w:pPr>
        <w:pStyle w:val="ListBullet"/>
      </w:pPr>
      <w:r w:rsidRPr="00336DEA">
        <w:t xml:space="preserve">modelling of industry operating conditions. </w:t>
      </w:r>
    </w:p>
    <w:p w:rsidR="00000000" w:rsidRPr="00336DEA" w:rsidP="00E1484F">
      <w:pPr>
        <w:pStyle w:val="BodyText"/>
      </w:pPr>
      <w:r w:rsidRPr="00336DEA">
        <w:t>Assessors must satis</w:t>
      </w:r>
      <w:r w:rsidRPr="00336DEA">
        <w:t>fy the NVR/AQTF mandatory competency requirements for assessors.</w:t>
      </w:r>
    </w:p>
    <w:p w:rsidR="00000000" w:rsidRPr="00336DEA" w:rsidP="00336DEA">
      <w:pPr>
        <w:pStyle w:val="Heading1"/>
      </w:pPr>
      <w:bookmarkStart w:id="5" w:name="O_1260339"/>
      <w:bookmarkEnd w:id="5"/>
      <w:r w:rsidRPr="00336DEA">
        <w:t>Links</w:t>
      </w:r>
    </w:p>
    <w:p w:rsidR="00000000" w:rsidRPr="00336DEA" w:rsidP="00E1484F">
      <w:pPr>
        <w:pStyle w:val="BodyText"/>
      </w:pPr>
      <w:r w:rsidRPr="00336D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1449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36DEA" w:rsidP="00336DEA"/>
    <w:sectPr w:rsidSect="00336D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EA" w:rsidRPr="00E1484F" w:rsidP="00E14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4F" w:rsidP="00336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84F" w:rsidP="00336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1484F" w:rsidP="00336D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DEA" w:rsidRPr="00E1484F" w:rsidP="00E14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D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4F" w:rsidRPr="002D2AF8" w:rsidP="00336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MSS025029 Perform sampling and testing for site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1484F" w:rsidP="00336D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A46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343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52BB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D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D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D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D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D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D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D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D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D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D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DEA"/>
  </w:style>
  <w:style w:type="character" w:customStyle="1" w:styleId="Heading1Char">
    <w:name w:val="Heading 1 Char"/>
    <w:basedOn w:val="DefaultParagraphFont"/>
    <w:link w:val="Heading1"/>
    <w:rsid w:val="00336D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D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D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D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6D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6D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D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D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D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D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D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D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D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D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D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D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D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D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D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D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D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D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D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6DEA"/>
    <w:rPr>
      <w:b/>
      <w:spacing w:val="0"/>
    </w:rPr>
  </w:style>
  <w:style w:type="paragraph" w:customStyle="1" w:styleId="SuperTitle">
    <w:name w:val="SuperTitle"/>
    <w:basedOn w:val="Title"/>
    <w:rsid w:val="00336D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D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D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D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D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D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D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D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D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D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D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D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DEA"/>
    <w:rPr>
      <w:i/>
    </w:rPr>
  </w:style>
  <w:style w:type="paragraph" w:styleId="Caption">
    <w:name w:val="caption"/>
    <w:basedOn w:val="BodyText"/>
    <w:next w:val="Normal"/>
    <w:qFormat/>
    <w:rsid w:val="00336D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D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D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DEA"/>
  </w:style>
  <w:style w:type="paragraph" w:styleId="TableofFigures">
    <w:name w:val="table of figures"/>
    <w:basedOn w:val="Normal"/>
    <w:next w:val="Normal"/>
    <w:semiHidden/>
    <w:rsid w:val="00336D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D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DEA"/>
    <w:rPr>
      <w:rFonts w:ascii="Wingdings" w:hAnsi="Wingdings"/>
    </w:rPr>
  </w:style>
  <w:style w:type="paragraph" w:customStyle="1" w:styleId="TableHeading">
    <w:name w:val="Table Heading"/>
    <w:basedOn w:val="HeadingBase"/>
    <w:rsid w:val="00336D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DEA"/>
    <w:rPr>
      <w:color w:val="0033CC"/>
      <w:u w:val="none"/>
    </w:rPr>
  </w:style>
  <w:style w:type="paragraph" w:customStyle="1" w:styleId="BodyTextRight">
    <w:name w:val="Body Text Right"/>
    <w:basedOn w:val="BodyText"/>
    <w:rsid w:val="00336D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D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D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D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D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D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DEA"/>
    <w:rPr>
      <w:sz w:val="32"/>
    </w:rPr>
  </w:style>
  <w:style w:type="paragraph" w:customStyle="1" w:styleId="HeadingProcedure">
    <w:name w:val="Heading Procedure"/>
    <w:basedOn w:val="HeadingBase"/>
    <w:next w:val="Normal"/>
    <w:rsid w:val="00336D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DEA"/>
    <w:pPr>
      <w:spacing w:before="60" w:after="60"/>
    </w:pPr>
  </w:style>
  <w:style w:type="paragraph" w:styleId="ListContinue">
    <w:name w:val="List Continue"/>
    <w:basedOn w:val="List"/>
    <w:rsid w:val="00336DEA"/>
    <w:pPr>
      <w:ind w:firstLine="0"/>
    </w:pPr>
  </w:style>
  <w:style w:type="paragraph" w:customStyle="1" w:styleId="ListNote">
    <w:name w:val="List Note"/>
    <w:basedOn w:val="List"/>
    <w:rsid w:val="00336D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D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D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DEA"/>
    <w:rPr>
      <w:rFonts w:ascii="Courier New" w:hAnsi="Courier New"/>
    </w:rPr>
  </w:style>
  <w:style w:type="paragraph" w:customStyle="1" w:styleId="NoteBullet">
    <w:name w:val="Note Bullet"/>
    <w:basedOn w:val="Note"/>
    <w:rsid w:val="00336D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D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D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D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D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D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D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DEA"/>
    <w:rPr>
      <w:b/>
      <w:smallCaps/>
    </w:rPr>
  </w:style>
  <w:style w:type="paragraph" w:customStyle="1" w:styleId="TableListNumber">
    <w:name w:val="Table List Number"/>
    <w:basedOn w:val="ListNumber"/>
    <w:rsid w:val="00336D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D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DEA"/>
    <w:pPr>
      <w:numPr>
        <w:numId w:val="9"/>
      </w:numPr>
    </w:pPr>
  </w:style>
  <w:style w:type="paragraph" w:customStyle="1" w:styleId="ListAlpha2">
    <w:name w:val="List Alpha 2"/>
    <w:basedOn w:val="List2"/>
    <w:rsid w:val="00336DEA"/>
    <w:pPr>
      <w:numPr>
        <w:numId w:val="8"/>
      </w:numPr>
    </w:pPr>
  </w:style>
  <w:style w:type="paragraph" w:styleId="List2">
    <w:name w:val="List 2"/>
    <w:basedOn w:val="BodyText"/>
    <w:rsid w:val="00336D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D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D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D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D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D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DEA"/>
    <w:pPr>
      <w:numPr>
        <w:numId w:val="4"/>
      </w:numPr>
    </w:pPr>
  </w:style>
  <w:style w:type="paragraph" w:styleId="ListContinue2">
    <w:name w:val="List Continue 2"/>
    <w:basedOn w:val="List2"/>
    <w:rsid w:val="00336DEA"/>
    <w:pPr>
      <w:ind w:firstLine="0"/>
    </w:pPr>
  </w:style>
  <w:style w:type="paragraph" w:styleId="ListContinue3">
    <w:name w:val="List Continue 3"/>
    <w:basedOn w:val="List3"/>
    <w:rsid w:val="00336DEA"/>
    <w:pPr>
      <w:ind w:left="1021" w:firstLine="0"/>
    </w:pPr>
  </w:style>
  <w:style w:type="paragraph" w:styleId="ListContinue4">
    <w:name w:val="List Continue 4"/>
    <w:basedOn w:val="List4"/>
    <w:rsid w:val="00336DEA"/>
    <w:pPr>
      <w:ind w:firstLine="0"/>
    </w:pPr>
  </w:style>
  <w:style w:type="paragraph" w:styleId="ListContinue5">
    <w:name w:val="List Continue 5"/>
    <w:basedOn w:val="List5"/>
    <w:rsid w:val="00336DEA"/>
    <w:pPr>
      <w:ind w:firstLine="0"/>
    </w:pPr>
  </w:style>
  <w:style w:type="paragraph" w:styleId="ListNumber3">
    <w:name w:val="List Number 3"/>
    <w:basedOn w:val="List3"/>
    <w:rsid w:val="00336DEA"/>
    <w:pPr>
      <w:numPr>
        <w:numId w:val="5"/>
      </w:numPr>
    </w:pPr>
  </w:style>
  <w:style w:type="paragraph" w:styleId="ListNumber4">
    <w:name w:val="List Number 4"/>
    <w:basedOn w:val="List4"/>
    <w:rsid w:val="00336DEA"/>
    <w:pPr>
      <w:numPr>
        <w:numId w:val="6"/>
      </w:numPr>
    </w:pPr>
  </w:style>
  <w:style w:type="paragraph" w:styleId="ListNumber5">
    <w:name w:val="List Number 5"/>
    <w:basedOn w:val="List5"/>
    <w:rsid w:val="00336DEA"/>
    <w:pPr>
      <w:numPr>
        <w:numId w:val="7"/>
      </w:numPr>
    </w:pPr>
  </w:style>
  <w:style w:type="paragraph" w:styleId="BlockText">
    <w:name w:val="Block Text"/>
    <w:basedOn w:val="Normal"/>
    <w:rsid w:val="00336D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D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DEA"/>
    <w:rPr>
      <w:sz w:val="16"/>
      <w:vertAlign w:val="superscript"/>
    </w:rPr>
  </w:style>
  <w:style w:type="character" w:customStyle="1" w:styleId="Symbols">
    <w:name w:val="Symbols"/>
    <w:basedOn w:val="DefaultParagraphFont"/>
    <w:rsid w:val="00336DEA"/>
    <w:rPr>
      <w:rFonts w:ascii="Symbol" w:hAnsi="Symbol"/>
    </w:rPr>
  </w:style>
  <w:style w:type="character" w:customStyle="1" w:styleId="MenuOptions">
    <w:name w:val="Menu Options"/>
    <w:basedOn w:val="DefaultParagraphFont"/>
    <w:rsid w:val="00336D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DEA"/>
    <w:rPr>
      <w:b/>
    </w:rPr>
  </w:style>
  <w:style w:type="character" w:customStyle="1" w:styleId="Underlined">
    <w:name w:val="Underlined"/>
    <w:basedOn w:val="DefaultParagraphFont"/>
    <w:rsid w:val="00336DEA"/>
    <w:rPr>
      <w:u w:val="single"/>
    </w:rPr>
  </w:style>
  <w:style w:type="paragraph" w:customStyle="1" w:styleId="TableBodyTextRight">
    <w:name w:val="Table Body Text Right"/>
    <w:basedOn w:val="TableBodyText"/>
    <w:rsid w:val="00336D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DEA"/>
    <w:rPr>
      <w:sz w:val="18"/>
    </w:rPr>
  </w:style>
  <w:style w:type="paragraph" w:customStyle="1" w:styleId="BodySmallRight">
    <w:name w:val="Body Small Right"/>
    <w:basedOn w:val="BodyTextRight"/>
    <w:rsid w:val="00336DEA"/>
    <w:rPr>
      <w:sz w:val="18"/>
      <w:szCs w:val="18"/>
    </w:rPr>
  </w:style>
  <w:style w:type="paragraph" w:customStyle="1" w:styleId="MarginEdition">
    <w:name w:val="Margin Edition"/>
    <w:basedOn w:val="MarginNote"/>
    <w:rsid w:val="00336D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DEA"/>
    <w:rPr>
      <w:sz w:val="2"/>
      <w:szCs w:val="2"/>
    </w:rPr>
  </w:style>
  <w:style w:type="character" w:customStyle="1" w:styleId="Small">
    <w:name w:val="Small"/>
    <w:basedOn w:val="DefaultParagraphFont"/>
    <w:rsid w:val="00336DEA"/>
    <w:rPr>
      <w:sz w:val="16"/>
    </w:rPr>
  </w:style>
  <w:style w:type="paragraph" w:customStyle="1" w:styleId="WideTable">
    <w:name w:val="Wide Table"/>
    <w:basedOn w:val="Normal"/>
    <w:rsid w:val="00336D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DEA"/>
  </w:style>
  <w:style w:type="paragraph" w:styleId="Quote">
    <w:name w:val="Quote"/>
    <w:basedOn w:val="Heading1"/>
    <w:link w:val="QuoteChar"/>
    <w:qFormat/>
    <w:rsid w:val="00336D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D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DEA"/>
    <w:pPr>
      <w:pageBreakBefore/>
    </w:pPr>
  </w:style>
  <w:style w:type="paragraph" w:customStyle="1" w:styleId="Border">
    <w:name w:val="Border"/>
    <w:basedOn w:val="Normal"/>
    <w:qFormat/>
    <w:rsid w:val="00336D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D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D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D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D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D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D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D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D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DEA"/>
    <w:rPr>
      <w:u w:val="single"/>
    </w:rPr>
  </w:style>
  <w:style w:type="character" w:customStyle="1" w:styleId="BoldandItalics">
    <w:name w:val="Bold and Italics"/>
    <w:qFormat/>
    <w:rsid w:val="00336DEA"/>
    <w:rPr>
      <w:b/>
      <w:i/>
      <w:u w:val="none"/>
    </w:rPr>
  </w:style>
  <w:style w:type="paragraph" w:styleId="BalloonText">
    <w:name w:val="Balloon Text"/>
    <w:basedOn w:val="Normal"/>
    <w:link w:val="BalloonTextChar"/>
    <w:rsid w:val="00336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D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D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D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D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D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DEA"/>
    <w:pPr>
      <w:spacing w:before="0" w:after="0"/>
    </w:pPr>
  </w:style>
  <w:style w:type="paragraph" w:customStyle="1" w:styleId="BodyTextBold">
    <w:name w:val="Body Text Bold"/>
    <w:basedOn w:val="BodyText"/>
    <w:qFormat/>
    <w:rsid w:val="00336DEA"/>
    <w:rPr>
      <w:b/>
    </w:rPr>
  </w:style>
  <w:style w:type="character" w:styleId="Hyperlink">
    <w:name w:val="Hyperlink"/>
    <w:basedOn w:val="DefaultParagraphFont"/>
    <w:uiPriority w:val="99"/>
    <w:unhideWhenUsed/>
    <w:rsid w:val="00E14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3579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MSS025029 Perform sampling and testing for site contamination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