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120" w:rsidP="003B7120">
      <w:pPr>
        <w:pStyle w:val="Title"/>
      </w:pPr>
      <w:r>
        <w:fldChar w:fldCharType="begin"/>
      </w:r>
      <w:r>
        <w:instrText xml:space="preserve"> TITLE   \* MERGEFORMAT </w:instrText>
      </w:r>
      <w:r>
        <w:fldChar w:fldCharType="separate"/>
      </w:r>
      <w:r>
        <w:t>MSS025021 Collect and evaluate groundwater data</w:t>
      </w:r>
      <w:r>
        <w:fldChar w:fldCharType="end"/>
      </w:r>
    </w:p>
    <w:p w:rsidR="003B7120" w:rsidP="003B7120">
      <w:pPr>
        <w:pStyle w:val="Version"/>
        <w:sectPr w:rsidSect="00C01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AE3" w:rsidP="00C01AE3">
      <w:pPr>
        <w:pStyle w:val="SuperHeading"/>
      </w:pPr>
      <w:r w:rsidRPr="00C01AE3">
        <w:t>MSS025021 Collect and evaluate groundwater data</w:t>
      </w:r>
    </w:p>
    <w:p w:rsidR="00000000" w:rsidRPr="00C01AE3" w:rsidP="00C01AE3">
      <w:pPr>
        <w:pStyle w:val="Heading1"/>
      </w:pPr>
      <w:bookmarkStart w:id="1" w:name="O_990205"/>
      <w:bookmarkEnd w:id="1"/>
      <w:r w:rsidRPr="00C01AE3">
        <w:t>Modification History</w:t>
      </w:r>
    </w:p>
    <w:p w:rsidR="00000000" w:rsidRPr="00C01AE3" w:rsidP="003B7120">
      <w:pPr>
        <w:pStyle w:val="BodyText"/>
      </w:pPr>
      <w:r w:rsidRPr="00C01AE3">
        <w:t>Release 1. Updated unit code. Changes to elements and performance criteria. Range of conditions removed. Assessment requirements amended. Equivalent outcome.</w:t>
      </w:r>
    </w:p>
    <w:p w:rsidR="00000000" w:rsidRPr="00C01AE3" w:rsidP="00C01AE3">
      <w:pPr>
        <w:pStyle w:val="Heading1"/>
      </w:pPr>
      <w:bookmarkStart w:id="2" w:name="O_990206"/>
      <w:bookmarkEnd w:id="2"/>
      <w:r w:rsidRPr="00C01AE3">
        <w:t>Application</w:t>
      </w:r>
    </w:p>
    <w:p w:rsidR="00000000" w:rsidRPr="00C01AE3" w:rsidP="003B7120">
      <w:pPr>
        <w:pStyle w:val="BodyText"/>
      </w:pPr>
      <w:r w:rsidRPr="00C01AE3">
        <w:t>This unit describes the skills and knowl</w:t>
      </w:r>
      <w:r w:rsidRPr="00C01AE3">
        <w:t>edge to obtain, preserve and transport representative samples of groundwater for laboratory analysis; measure bore conditions; test chemical, physical parameters in the field; and to process data and interpret results. Personnel usually work within an exis</w:t>
      </w:r>
      <w:r w:rsidRPr="00C01AE3">
        <w:t>ting sampling or monitoring plan, continually monitor levels of risk and use specified safe working procedures and equipment. They are also required to work closely with drillers during the construction of wells and bores to prevent contamination of sample</w:t>
      </w:r>
      <w:r w:rsidRPr="00C01AE3">
        <w:t xml:space="preserve">s, obtain logs and manage waste. </w:t>
      </w:r>
    </w:p>
    <w:p w:rsidR="00000000" w:rsidRPr="00C01AE3" w:rsidP="003B7120">
      <w:pPr>
        <w:pStyle w:val="BodyText"/>
      </w:pPr>
      <w:r w:rsidRPr="00C01AE3">
        <w:t>This unit applies to environmental technicians in a range of industry sectors, including environmental services (sampling and monitoring of air quality, water, soil and noise); environmental compliance, auditing and inspec</w:t>
      </w:r>
      <w:r w:rsidRPr="00C01AE3">
        <w:t>tion; groundwater and clean water (catchments, supply and environmental flows); water treatment, storm and wastewater management; solid and hazardous waste management; management of contaminated sites; site remediation or rehabilitation; geotechnical servi</w:t>
      </w:r>
      <w:r w:rsidRPr="00C01AE3">
        <w:t>ces and civil engineering; and natural resource management.</w:t>
      </w:r>
    </w:p>
    <w:p w:rsidR="00000000" w:rsidRPr="00C01AE3" w:rsidP="003B7120">
      <w:pPr>
        <w:pStyle w:val="BodyText"/>
      </w:pPr>
      <w:r w:rsidRPr="00C01AE3">
        <w:t>No licensing or certification requirements exist at the time of publication. Relevant legislation, industry standards and codes of practice within Australia must be applied.</w:t>
      </w:r>
    </w:p>
    <w:p w:rsidR="00000000" w:rsidRPr="00C01AE3" w:rsidP="00C01AE3">
      <w:pPr>
        <w:pStyle w:val="Heading1"/>
      </w:pPr>
      <w:bookmarkStart w:id="3" w:name="O_990207"/>
      <w:bookmarkEnd w:id="3"/>
      <w:r w:rsidRPr="00C01AE3">
        <w:t>Pre-r</w:t>
      </w:r>
      <w:r w:rsidRPr="00C01AE3">
        <w:t>equisite Unit</w:t>
      </w:r>
    </w:p>
    <w:p w:rsidR="00000000" w:rsidRPr="00C01AE3" w:rsidP="003B7120">
      <w:pPr>
        <w:pStyle w:val="BodyText"/>
      </w:pPr>
      <w:r w:rsidRPr="00C01AE3">
        <w:t>Nil</w:t>
      </w:r>
    </w:p>
    <w:p w:rsidR="00000000" w:rsidRPr="00C01AE3" w:rsidP="00C01AE3">
      <w:pPr>
        <w:pStyle w:val="Heading1"/>
      </w:pPr>
      <w:bookmarkStart w:id="4" w:name="O_990208"/>
      <w:bookmarkEnd w:id="4"/>
      <w:r w:rsidRPr="00C01AE3">
        <w:t>Competency Field</w:t>
      </w:r>
    </w:p>
    <w:p w:rsidR="00000000" w:rsidRPr="00C01AE3" w:rsidP="003B7120">
      <w:pPr>
        <w:pStyle w:val="BodyText"/>
      </w:pPr>
      <w:r w:rsidRPr="00C01AE3">
        <w:t>Sampling and testing</w:t>
      </w:r>
    </w:p>
    <w:p w:rsidR="00000000" w:rsidRPr="00C01AE3" w:rsidP="00C01AE3">
      <w:pPr>
        <w:pStyle w:val="Heading1"/>
      </w:pPr>
      <w:bookmarkStart w:id="5" w:name="O_990209"/>
      <w:bookmarkEnd w:id="5"/>
      <w:r w:rsidRPr="00C01AE3">
        <w:t>Unit Sector</w:t>
      </w:r>
    </w:p>
    <w:p w:rsidR="00000000" w:rsidRPr="00C01AE3" w:rsidP="003B7120">
      <w:pPr>
        <w:pStyle w:val="BodyText"/>
      </w:pPr>
      <w:r w:rsidRPr="00C01AE3">
        <w:t>Environmental</w:t>
      </w:r>
    </w:p>
    <w:p w:rsidR="00000000" w:rsidRPr="00C01AE3" w:rsidP="00C01AE3">
      <w:pPr>
        <w:pStyle w:val="Heading1"/>
      </w:pPr>
      <w:bookmarkStart w:id="6" w:name="O_990210"/>
      <w:bookmarkEnd w:id="6"/>
      <w:r w:rsidRPr="00C01AE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01AE3">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 xml:space="preserve">Performance criteria describe the performance </w:t>
            </w:r>
            <w:r w:rsidRPr="00C01AE3">
              <w:t>needed to demonstrate achievement of the element.</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1</w:t>
            </w:r>
          </w:p>
        </w:tc>
        <w:tc>
          <w:tcPr>
            <w:tcW w:w="1962" w:type="dxa"/>
            <w:vMerge w:val="restart"/>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rPr>
                <w:rStyle w:val="SpecialBold"/>
              </w:rPr>
              <w:t>Confirm groundwater data requirements with supervisor</w:t>
            </w: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1.1</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Confirm the scope and purpose of sampling and monitoring data requirements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1.2</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Read</w:t>
            </w:r>
            <w:r w:rsidRPr="00C01AE3">
              <w:t xml:space="preserve"> and interpret available site information, including site plan, bore locations, construction and history of sampling and monitoring</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1.3</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Confirm the sampling methods, locations, numbers and types of samples, and duration and frequency of sampling from workplace or client’s sampling plan</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1.4</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Check that all sampling and testing procedures are in accordance with client or workplace requirem</w:t>
            </w:r>
            <w:r w:rsidRPr="00C01AE3">
              <w:t>ents, standards and guidelines</w:t>
            </w:r>
          </w:p>
        </w:tc>
      </w:tr>
      <w:tr w:rsidTr="00C01AE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1AE3">
            <w:pPr>
              <w:pStyle w:val="BodyText"/>
              <w:rPr>
                <w:lang w:val="en-NZ"/>
              </w:rPr>
            </w:pP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2</w:t>
            </w:r>
          </w:p>
        </w:tc>
        <w:tc>
          <w:tcPr>
            <w:tcW w:w="1962" w:type="dxa"/>
            <w:vMerge w:val="restart"/>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rPr>
                <w:rStyle w:val="SpecialBold"/>
              </w:rPr>
              <w:t>Prepare for groundwater sampling and monitoring</w:t>
            </w: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2.1</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Identify site and sampling hazards and review workplace safety procedures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2.2</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Liaise with relevant personnel to arrange site access and obtain all clearances and permits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2.3</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Read and interpret field sampling procedures and sample preparation methods required for specific laboratory analyses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2.4</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Select purging and sampling equipment and sampling conditions to achieve representative samples and preserve sample integrity during collection, storage and transit</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2.5</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Obtain and prepare all reagents, solutions, standards and blanks for field use</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w:t>
            </w:r>
            <w:r w:rsidRPr="00C01AE3">
              <w:t>6</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Select field test equipment and instruments and check operation and calibration in accordance with methods, procedures and manufacturer instructions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2.7</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Assemble and stow all sampling equipment, field test equipment, materials, containers and safety e</w:t>
            </w:r>
            <w:r w:rsidRPr="00C01AE3">
              <w:t>quipment</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2.8</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Arrange suitable transport to, from and around site</w:t>
            </w:r>
          </w:p>
        </w:tc>
      </w:tr>
      <w:tr w:rsidTr="00C01AE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1AE3">
            <w:pPr>
              <w:pStyle w:val="BodyText"/>
              <w:rPr>
                <w:lang w:val="en-NZ"/>
              </w:rPr>
            </w:pP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3</w:t>
            </w:r>
          </w:p>
        </w:tc>
        <w:tc>
          <w:tcPr>
            <w:tcW w:w="1962" w:type="dxa"/>
            <w:vMerge w:val="restart"/>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rPr>
                <w:rStyle w:val="SpecialBold"/>
              </w:rPr>
              <w:t>Establish a well or bore for monitoring purposes</w:t>
            </w: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3.1</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Confirm location of well or bore and groundwater monitoring requirements using site sampling and monitoring plan</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3.2</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Examine the well or bore area to identify possible hazards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3.3</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Check proposed drilling and construction method will not cause contamination and that casing, drilling fluids and any other materials used in the bore are free of contaminants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3.4</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Check p</w:t>
            </w:r>
            <w:r w:rsidRPr="00C01AE3">
              <w:t>owered and non-powered tools and sampling equipment are cleaned thoroughly before drilling commences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3.5</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Check protective casings and screens are kept in their protective coverings prior to installation</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3.6</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Monitor process to accurately log samples and prevent their contamination</w:t>
            </w:r>
          </w:p>
        </w:tc>
      </w:tr>
      <w:tr w:rsidTr="00C01AE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1AE3">
            <w:pPr>
              <w:pStyle w:val="BodyText"/>
              <w:rPr>
                <w:lang w:val="en-NZ"/>
              </w:rPr>
            </w:pP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4</w:t>
            </w:r>
          </w:p>
        </w:tc>
        <w:tc>
          <w:tcPr>
            <w:tcW w:w="1962" w:type="dxa"/>
            <w:vMerge w:val="restart"/>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rPr>
                <w:rStyle w:val="SpecialBold"/>
              </w:rPr>
              <w:t>Conduct representative sampling of groundwater</w:t>
            </w: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4.1</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Locate sampling locations and services at the site and identify possible hazards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4.2</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Conduct sufficient measurements to accurately determine water level and bore depth</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4.3</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Record bore and environmental conditions and any atypical observations made during sampling that may impact on sample representativeness or integrity</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4.4</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Conduct p</w:t>
            </w:r>
            <w:r w:rsidRPr="00C01AE3">
              <w:t>urging in accordance with defined procedure or method, collect the waste and decontaminate the equipment used</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4.5</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Collect required representative samples and ensure all controls, blanks and replicate samples are correctly integrated into the sampling process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4.6</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Record all information and label samples in accordance with chain of custody and traceability requiremen</w:t>
            </w:r>
            <w:r w:rsidRPr="00C01AE3">
              <w:t>ts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4.7</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Filter and prepare samples to preserve their integrity for subsequent analysis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4.8</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Secure and transport all samples back to base in accordance with workplace procedures and guidelines</w:t>
            </w:r>
          </w:p>
        </w:tc>
      </w:tr>
      <w:tr w:rsidTr="00C01AE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1AE3">
            <w:pPr>
              <w:pStyle w:val="BodyText"/>
              <w:rPr>
                <w:lang w:val="en-NZ"/>
              </w:rPr>
            </w:pP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5</w:t>
            </w:r>
          </w:p>
        </w:tc>
        <w:tc>
          <w:tcPr>
            <w:tcW w:w="1962" w:type="dxa"/>
            <w:vMerge w:val="restart"/>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rPr>
                <w:rStyle w:val="SpecialBold"/>
              </w:rPr>
              <w:t>Conduct field testing of groundwater</w:t>
            </w: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5.1</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Assemble required monitoring instruments, equipment, and reagents and conduct pre-use checks in accordance with manufacturer instructions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5.2</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Retrieve samples for designated field tests or locate established locations for in-situ testing</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5.3</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Set up, calibrate and operate equipment and instruments in accordance with test methods, procedures and manufacturer instructions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5.4</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Take sufficient measurements of groundwater field parameters to obtain reliable data and in accordance with specified m</w:t>
            </w:r>
            <w:r w:rsidRPr="00C01AE3">
              <w:t>ethods and procedures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5.5</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Record all field observations and data and transfer accurately to workplace information database</w:t>
            </w:r>
          </w:p>
        </w:tc>
      </w:tr>
      <w:tr w:rsidTr="00C01AE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1AE3">
            <w:pPr>
              <w:pStyle w:val="BodyText"/>
              <w:rPr>
                <w:lang w:val="en-NZ"/>
              </w:rPr>
            </w:pP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6</w:t>
            </w:r>
          </w:p>
        </w:tc>
        <w:tc>
          <w:tcPr>
            <w:tcW w:w="1962" w:type="dxa"/>
            <w:vMerge w:val="restart"/>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rPr>
                <w:rStyle w:val="SpecialBold"/>
              </w:rPr>
              <w:t>Process and interpret groundwater data</w:t>
            </w: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6.1</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Read and interpret test data noting atypical observations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6.2</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Check calculated values are consistent with expectations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6.3</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Estimate and document uncertainty of measurements in accordance with workplace procedures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6.4</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Record and report processed results in accordance with workplace procedures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6.5</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Interpret trends in data and results and report out-of-specification or atypical results promptly to relevant personnel</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6.6</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Determine if obvious procedure or equipment problems have led to atypical data or results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6.7</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 xml:space="preserve">Compare results with established groundwater quality standards, statutory environmental quality concentration limits </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6.8</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Finalise reporting of results in accordance with workplace requirements</w:t>
            </w:r>
          </w:p>
        </w:tc>
      </w:tr>
      <w:tr w:rsidTr="00C01AE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1AE3">
            <w:pPr>
              <w:pStyle w:val="BodyText"/>
              <w:rPr>
                <w:lang w:val="en-NZ"/>
              </w:rPr>
            </w:pP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7</w:t>
            </w:r>
          </w:p>
        </w:tc>
        <w:tc>
          <w:tcPr>
            <w:tcW w:w="1962" w:type="dxa"/>
            <w:vMerge w:val="restart"/>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7.1</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Use defined sa</w:t>
            </w:r>
            <w:r w:rsidRPr="00C01AE3">
              <w:t>fe work practices and personal protective equipment (PPE) to ensure personal safety and that of others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7.2</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Rehabilitate sampling site to render it safe and to minimise environmental impact</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7.3</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Clean and decontaminate all equipment, containers, work area and vehicles according to workplace procedures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7.4</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Check serviceability of all equipment before storage</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7.5</w:t>
            </w:r>
          </w:p>
        </w:tc>
        <w:tc>
          <w:tcPr>
            <w:tcW w:w="561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Minimise the generation of wastes and environment impacts</w:t>
            </w:r>
          </w:p>
        </w:tc>
      </w:tr>
      <w:tr w:rsidTr="00C01A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AE3">
            <w:pPr>
              <w:pStyle w:val="BodyText"/>
              <w:rPr>
                <w:lang w:val="en-NZ"/>
              </w:rPr>
            </w:pPr>
            <w:r w:rsidRPr="00C01AE3">
              <w:t>7.6</w:t>
            </w:r>
          </w:p>
        </w:tc>
        <w:tc>
          <w:tcPr>
            <w:tcW w:w="5610" w:type="dxa"/>
            <w:tcBorders>
              <w:top w:val="nil"/>
              <w:left w:val="nil"/>
              <w:bottom w:val="nil"/>
              <w:right w:val="nil"/>
            </w:tcBorders>
            <w:tcMar>
              <w:top w:w="0" w:type="dxa"/>
              <w:left w:w="62" w:type="dxa"/>
              <w:bottom w:w="0" w:type="dxa"/>
              <w:right w:w="62" w:type="dxa"/>
            </w:tcMar>
          </w:tcPr>
          <w:p w:rsidR="00000000" w:rsidRPr="00C01AE3" w:rsidP="00C01AE3">
            <w:pPr>
              <w:pStyle w:val="BodyText"/>
            </w:pPr>
            <w:r w:rsidRPr="00C01AE3">
              <w:t>Liaise with relevant personnel for the safe collection of all hazardous wastes for appropriate disposal</w:t>
            </w:r>
          </w:p>
        </w:tc>
      </w:tr>
    </w:tbl>
    <w:p w:rsidR="00000000" w:rsidRPr="00C01AE3" w:rsidP="00C01AE3">
      <w:pPr>
        <w:pStyle w:val="BodyText"/>
      </w:pPr>
    </w:p>
    <w:p w:rsidR="00000000" w:rsidRPr="00C01AE3" w:rsidP="00C01AE3">
      <w:pPr>
        <w:pStyle w:val="AllowPageBreak"/>
      </w:pPr>
    </w:p>
    <w:p w:rsidR="00000000" w:rsidRPr="00C01AE3" w:rsidP="00C01AE3">
      <w:pPr>
        <w:pStyle w:val="Heading1"/>
      </w:pPr>
      <w:bookmarkStart w:id="7" w:name="O_990211"/>
      <w:bookmarkEnd w:id="7"/>
      <w:r w:rsidRPr="00C01AE3">
        <w:t>Foundation Skills</w:t>
      </w:r>
    </w:p>
    <w:p w:rsidR="00000000" w:rsidRPr="00C01AE3" w:rsidP="003B7120">
      <w:pPr>
        <w:pStyle w:val="BodyText"/>
      </w:pPr>
      <w:r w:rsidRPr="00C01AE3">
        <w:t>This section describes those language, literacy, numeracy and employment skills that are essential to performance.</w:t>
      </w:r>
    </w:p>
    <w:p w:rsidR="00000000" w:rsidRPr="00C01AE3" w:rsidP="003B7120">
      <w:pPr>
        <w:pStyle w:val="BodyText"/>
      </w:pPr>
      <w:r w:rsidRPr="00C01AE3">
        <w:t>Foundation skills essential to performance are explicit in the performance criteria of this unit of competency.</w:t>
      </w:r>
    </w:p>
    <w:p w:rsidR="00000000" w:rsidRPr="00C01AE3" w:rsidP="00C01AE3">
      <w:pPr>
        <w:pStyle w:val="Heading1"/>
      </w:pPr>
      <w:bookmarkStart w:id="8" w:name="O_990213"/>
      <w:bookmarkEnd w:id="8"/>
      <w:r w:rsidRPr="00C01AE3">
        <w:t>Unit Mapping Information</w:t>
      </w:r>
    </w:p>
    <w:p w:rsidR="00000000" w:rsidRPr="00C01AE3" w:rsidP="003B7120">
      <w:pPr>
        <w:pStyle w:val="BodyText"/>
      </w:pPr>
      <w:r w:rsidRPr="00C01AE3">
        <w:t>Release 1. Supersedes and is equivalent to MSS025006 Collect and evaluate groundwater data.</w:t>
      </w:r>
    </w:p>
    <w:p w:rsidR="00000000" w:rsidRPr="00C01AE3" w:rsidP="00C01AE3">
      <w:pPr>
        <w:pStyle w:val="Heading1"/>
      </w:pPr>
      <w:bookmarkStart w:id="9" w:name="O_990220"/>
      <w:bookmarkEnd w:id="9"/>
      <w:r w:rsidRPr="00C01AE3">
        <w:t>Links</w:t>
      </w:r>
    </w:p>
    <w:p w:rsidR="00000000" w:rsidRPr="00C01AE3" w:rsidP="003B7120">
      <w:pPr>
        <w:pStyle w:val="BodyText"/>
      </w:pPr>
      <w:r w:rsidRPr="00C01AE3">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51143F">
        <w:rPr>
          <w:rStyle w:val="Hyperlink"/>
        </w:rPr>
        <w:t>https://vetnet.gov.au/Pages/TrainingDocs.aspx?q=5b04f318-804f-4dc0-9463-c3fb9a3fe998</w:t>
      </w:r>
      <w:r>
        <w:fldChar w:fldCharType="end"/>
      </w:r>
    </w:p>
    <w:p w:rsidR="00000000" w:rsidRPr="00C01AE3" w:rsidP="00C01AE3"/>
    <w:sectPr w:rsidSect="00C01A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E3" w:rsidRPr="003B7120" w:rsidP="003B7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20" w:rsidP="00C01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120" w:rsidP="00C01A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7120" w:rsidP="00C01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AE3" w:rsidRPr="003B7120" w:rsidP="003B7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20" w:rsidRPr="002D2AF8" w:rsidP="00C01AE3">
    <w:pPr>
      <w:pStyle w:val="Header"/>
      <w:framePr w:wrap="around"/>
    </w:pPr>
    <w:r>
      <w:fldChar w:fldCharType="begin"/>
    </w:r>
    <w:r>
      <w:instrText xml:space="preserve"> TITLE   \* MERGEFORMAT </w:instrText>
    </w:r>
    <w:r>
      <w:fldChar w:fldCharType="separate"/>
    </w:r>
    <w:r>
      <w:t>MSS025021 Collect and evaluate groundwater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3B7120" w:rsidP="00C01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AE3"/>
    <w:pPr>
      <w:spacing w:before="360" w:after="60"/>
      <w:outlineLvl w:val="0"/>
    </w:pPr>
    <w:rPr>
      <w:sz w:val="32"/>
    </w:rPr>
  </w:style>
  <w:style w:type="paragraph" w:styleId="Heading2">
    <w:name w:val="heading 2"/>
    <w:basedOn w:val="HeadingBase"/>
    <w:next w:val="BodyText"/>
    <w:link w:val="Heading2Char"/>
    <w:qFormat/>
    <w:rsid w:val="00C01AE3"/>
    <w:pPr>
      <w:keepLines/>
      <w:spacing w:before="240" w:after="120"/>
      <w:outlineLvl w:val="1"/>
    </w:pPr>
    <w:rPr>
      <w:sz w:val="28"/>
      <w:szCs w:val="40"/>
    </w:rPr>
  </w:style>
  <w:style w:type="paragraph" w:styleId="Heading3">
    <w:name w:val="heading 3"/>
    <w:basedOn w:val="HeadingBase"/>
    <w:next w:val="BodyText"/>
    <w:link w:val="Heading3Char"/>
    <w:qFormat/>
    <w:rsid w:val="00C01AE3"/>
    <w:pPr>
      <w:spacing w:before="180" w:after="120"/>
      <w:outlineLvl w:val="2"/>
    </w:pPr>
    <w:rPr>
      <w:spacing w:val="-10"/>
      <w:kern w:val="32"/>
    </w:rPr>
  </w:style>
  <w:style w:type="paragraph" w:styleId="Heading4">
    <w:name w:val="heading 4"/>
    <w:basedOn w:val="HeadingBase"/>
    <w:next w:val="BodyText"/>
    <w:link w:val="Heading4Char"/>
    <w:qFormat/>
    <w:rsid w:val="00C01AE3"/>
    <w:pPr>
      <w:spacing w:before="160" w:after="120"/>
      <w:outlineLvl w:val="3"/>
    </w:pPr>
    <w:rPr>
      <w:sz w:val="22"/>
    </w:rPr>
  </w:style>
  <w:style w:type="paragraph" w:styleId="Heading5">
    <w:name w:val="heading 5"/>
    <w:basedOn w:val="HeadingBase"/>
    <w:next w:val="Normal"/>
    <w:link w:val="Heading5Char"/>
    <w:qFormat/>
    <w:rsid w:val="00C01AE3"/>
    <w:pPr>
      <w:spacing w:before="80"/>
      <w:outlineLvl w:val="4"/>
    </w:pPr>
    <w:rPr>
      <w:color w:val="918585"/>
      <w:sz w:val="20"/>
    </w:rPr>
  </w:style>
  <w:style w:type="paragraph" w:styleId="Heading6">
    <w:name w:val="heading 6"/>
    <w:basedOn w:val="HeadingBase"/>
    <w:next w:val="Normal"/>
    <w:link w:val="Heading6Char"/>
    <w:qFormat/>
    <w:rsid w:val="00C01AE3"/>
    <w:pPr>
      <w:spacing w:before="60"/>
      <w:outlineLvl w:val="5"/>
    </w:pPr>
    <w:rPr>
      <w:color w:val="918585"/>
      <w:sz w:val="20"/>
    </w:rPr>
  </w:style>
  <w:style w:type="paragraph" w:styleId="Heading7">
    <w:name w:val="heading 7"/>
    <w:basedOn w:val="Normal"/>
    <w:next w:val="Normal"/>
    <w:link w:val="Heading7Char"/>
    <w:qFormat/>
    <w:rsid w:val="00C01AE3"/>
    <w:pPr>
      <w:ind w:left="720"/>
      <w:outlineLvl w:val="6"/>
    </w:pPr>
    <w:rPr>
      <w:i/>
    </w:rPr>
  </w:style>
  <w:style w:type="paragraph" w:styleId="Heading8">
    <w:name w:val="heading 8"/>
    <w:basedOn w:val="Normal"/>
    <w:next w:val="Normal"/>
    <w:link w:val="Heading8Char"/>
    <w:qFormat/>
    <w:rsid w:val="00C01AE3"/>
    <w:pPr>
      <w:ind w:left="720"/>
      <w:outlineLvl w:val="7"/>
    </w:pPr>
    <w:rPr>
      <w:i/>
    </w:rPr>
  </w:style>
  <w:style w:type="paragraph" w:styleId="Heading9">
    <w:name w:val="heading 9"/>
    <w:basedOn w:val="Normal"/>
    <w:next w:val="Normal"/>
    <w:link w:val="Heading9Char"/>
    <w:qFormat/>
    <w:rsid w:val="00C01AE3"/>
    <w:pPr>
      <w:ind w:left="720"/>
      <w:outlineLvl w:val="8"/>
    </w:pPr>
    <w:rPr>
      <w:i/>
    </w:rPr>
  </w:style>
  <w:style w:type="character" w:default="1" w:styleId="DefaultParagraphFont">
    <w:name w:val="Default Paragraph Font"/>
    <w:uiPriority w:val="1"/>
    <w:unhideWhenUsed/>
    <w:rsid w:val="00C01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AE3"/>
  </w:style>
  <w:style w:type="character" w:customStyle="1" w:styleId="Heading1Char">
    <w:name w:val="Heading 1 Char"/>
    <w:basedOn w:val="DefaultParagraphFont"/>
    <w:link w:val="Heading1"/>
    <w:rsid w:val="00C01AE3"/>
    <w:rPr>
      <w:rFonts w:ascii="Times New Roman" w:eastAsia="Times New Roman" w:hAnsi="Times New Roman" w:cs="Times New Roman"/>
      <w:b/>
      <w:sz w:val="32"/>
      <w:szCs w:val="20"/>
      <w:lang w:eastAsia="en-US"/>
    </w:rPr>
  </w:style>
  <w:style w:type="paragraph" w:styleId="BodyText">
    <w:name w:val="Body Text"/>
    <w:basedOn w:val="Normal"/>
    <w:link w:val="BodyTextChar"/>
    <w:rsid w:val="00C01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AE3"/>
    <w:rPr>
      <w:rFonts w:ascii="Times New Roman" w:eastAsia="Times New Roman" w:hAnsi="Times New Roman" w:cs="Times New Roman"/>
      <w:sz w:val="24"/>
      <w:lang w:eastAsia="en-US"/>
    </w:rPr>
  </w:style>
  <w:style w:type="character" w:customStyle="1" w:styleId="SpecialBold">
    <w:name w:val="Special Bold"/>
    <w:basedOn w:val="DefaultParagraphFont"/>
    <w:rsid w:val="00C01AE3"/>
    <w:rPr>
      <w:b/>
      <w:spacing w:val="0"/>
    </w:rPr>
  </w:style>
  <w:style w:type="paragraph" w:customStyle="1" w:styleId="SuperHeading">
    <w:name w:val="SuperHeading"/>
    <w:basedOn w:val="Normal"/>
    <w:rsid w:val="00C01AE3"/>
    <w:pPr>
      <w:spacing w:before="240" w:after="120"/>
      <w:outlineLvl w:val="0"/>
    </w:pPr>
    <w:rPr>
      <w:rFonts w:ascii="Times New Roman" w:hAnsi="Times New Roman"/>
      <w:b/>
      <w:sz w:val="32"/>
    </w:rPr>
  </w:style>
  <w:style w:type="paragraph" w:customStyle="1" w:styleId="AllowPageBreak">
    <w:name w:val="AllowPageBreak"/>
    <w:rsid w:val="00C01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AE3"/>
    <w:rPr>
      <w:rFonts w:ascii="Courier New" w:eastAsia="Times New Roman" w:hAnsi="Courier New" w:cs="Times New Roman"/>
      <w:i/>
      <w:szCs w:val="20"/>
      <w:lang w:eastAsia="en-US"/>
    </w:rPr>
  </w:style>
  <w:style w:type="paragraph" w:customStyle="1" w:styleId="HeadingBase">
    <w:name w:val="Heading Base"/>
    <w:rsid w:val="00C01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AE3"/>
    <w:pPr>
      <w:tabs>
        <w:tab w:val="right" w:leader="dot" w:pos="9072"/>
      </w:tabs>
      <w:ind w:left="567"/>
    </w:pPr>
    <w:rPr>
      <w:szCs w:val="22"/>
    </w:rPr>
  </w:style>
  <w:style w:type="paragraph" w:customStyle="1" w:styleId="TOCBase">
    <w:name w:val="TOC Base"/>
    <w:rsid w:val="00C01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AE3"/>
    <w:pPr>
      <w:tabs>
        <w:tab w:val="right" w:leader="dot" w:pos="9072"/>
      </w:tabs>
      <w:spacing w:before="40" w:after="40"/>
      <w:ind w:left="284"/>
    </w:pPr>
    <w:rPr>
      <w:rFonts w:ascii="Times New Roman" w:hAnsi="Times New Roman"/>
    </w:rPr>
  </w:style>
  <w:style w:type="paragraph" w:styleId="TOC1">
    <w:name w:val="toc 1"/>
    <w:basedOn w:val="TOCBase"/>
    <w:next w:val="Normal"/>
    <w:rsid w:val="00C01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AE3"/>
    <w:rPr>
      <w:rFonts w:ascii="Times New Roman" w:eastAsia="Times New Roman" w:hAnsi="Times New Roman" w:cs="Times New Roman"/>
      <w:sz w:val="16"/>
      <w:lang w:eastAsia="en-US"/>
    </w:rPr>
  </w:style>
  <w:style w:type="paragraph" w:styleId="Title">
    <w:name w:val="Title"/>
    <w:basedOn w:val="HeadingBase"/>
    <w:link w:val="TitleChar"/>
    <w:qFormat/>
    <w:rsid w:val="00C01AE3"/>
    <w:pPr>
      <w:spacing w:before="5040"/>
      <w:jc w:val="center"/>
    </w:pPr>
    <w:rPr>
      <w:sz w:val="48"/>
      <w:szCs w:val="72"/>
      <w:lang w:val="en-US"/>
    </w:rPr>
  </w:style>
  <w:style w:type="character" w:customStyle="1" w:styleId="TitleChar">
    <w:name w:val="Title Char"/>
    <w:basedOn w:val="DefaultParagraphFont"/>
    <w:link w:val="Title"/>
    <w:rsid w:val="00C01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AE3"/>
    <w:pPr>
      <w:tabs>
        <w:tab w:val="left" w:pos="3600"/>
        <w:tab w:val="left" w:pos="3958"/>
      </w:tabs>
    </w:pPr>
  </w:style>
  <w:style w:type="paragraph" w:styleId="List">
    <w:name w:val="List"/>
    <w:basedOn w:val="BodyText"/>
    <w:next w:val="BodyText"/>
    <w:rsid w:val="00C01AE3"/>
    <w:pPr>
      <w:tabs>
        <w:tab w:val="left" w:pos="340"/>
      </w:tabs>
      <w:spacing w:before="60" w:after="60"/>
      <w:ind w:left="340" w:hanging="340"/>
    </w:pPr>
  </w:style>
  <w:style w:type="paragraph" w:styleId="ListBullet">
    <w:name w:val="List Bullet"/>
    <w:basedOn w:val="List"/>
    <w:rsid w:val="00C01AE3"/>
    <w:pPr>
      <w:numPr>
        <w:numId w:val="10"/>
      </w:numPr>
      <w:tabs>
        <w:tab w:val="clear" w:pos="340"/>
      </w:tabs>
      <w:spacing w:before="40" w:after="40"/>
    </w:pPr>
  </w:style>
  <w:style w:type="paragraph" w:customStyle="1" w:styleId="Note">
    <w:name w:val="Note"/>
    <w:basedOn w:val="BodyText"/>
    <w:rsid w:val="00C01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AE3"/>
    <w:pPr>
      <w:framePr w:wrap="auto" w:hAnchor="text" w:y="6049"/>
    </w:pPr>
    <w:rPr>
      <w:color w:val="000000"/>
      <w:sz w:val="40"/>
    </w:rPr>
  </w:style>
  <w:style w:type="paragraph" w:customStyle="1" w:styleId="TOCTitle">
    <w:name w:val="TOCTitle"/>
    <w:basedOn w:val="Heading1"/>
    <w:rsid w:val="00C01AE3"/>
    <w:pPr>
      <w:spacing w:after="240"/>
      <w:jc w:val="center"/>
      <w:outlineLvl w:val="9"/>
    </w:pPr>
    <w:rPr>
      <w:caps/>
    </w:rPr>
  </w:style>
  <w:style w:type="paragraph" w:customStyle="1" w:styleId="Version">
    <w:name w:val="Version"/>
    <w:rsid w:val="00C01A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AE3"/>
    <w:pPr>
      <w:numPr>
        <w:numId w:val="11"/>
      </w:numPr>
      <w:tabs>
        <w:tab w:val="clear" w:pos="680"/>
      </w:tabs>
    </w:pPr>
  </w:style>
  <w:style w:type="paragraph" w:styleId="Index1">
    <w:name w:val="index 1"/>
    <w:basedOn w:val="Normal"/>
    <w:next w:val="Normal"/>
    <w:semiHidden/>
    <w:rsid w:val="00C01AE3"/>
    <w:pPr>
      <w:keepNext w:val="0"/>
      <w:tabs>
        <w:tab w:val="right" w:pos="4176"/>
      </w:tabs>
      <w:ind w:left="198" w:hanging="198"/>
    </w:pPr>
    <w:rPr>
      <w:rFonts w:ascii="Garamond" w:hAnsi="Garamond"/>
    </w:rPr>
  </w:style>
  <w:style w:type="paragraph" w:styleId="IndexHeading">
    <w:name w:val="index heading"/>
    <w:basedOn w:val="Normal"/>
    <w:next w:val="Index1"/>
    <w:semiHidden/>
    <w:rsid w:val="00C01AE3"/>
    <w:pPr>
      <w:spacing w:before="120" w:after="120"/>
    </w:pPr>
    <w:rPr>
      <w:rFonts w:ascii="Arial" w:hAnsi="Arial"/>
      <w:b/>
      <w:color w:val="918585"/>
      <w:sz w:val="24"/>
    </w:rPr>
  </w:style>
  <w:style w:type="paragraph" w:styleId="Header">
    <w:name w:val="header"/>
    <w:basedOn w:val="Normal"/>
    <w:link w:val="HeaderChar"/>
    <w:rsid w:val="00C01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AE3"/>
    <w:rPr>
      <w:rFonts w:ascii="Times New Roman" w:eastAsia="Times New Roman" w:hAnsi="Times New Roman" w:cs="Times New Roman"/>
      <w:sz w:val="16"/>
      <w:szCs w:val="20"/>
      <w:lang w:val="en-GB" w:eastAsia="en-US"/>
    </w:rPr>
  </w:style>
  <w:style w:type="paragraph" w:customStyle="1" w:styleId="Chapter">
    <w:name w:val="Chapter"/>
    <w:basedOn w:val="Normal"/>
    <w:rsid w:val="00C01AE3"/>
    <w:pPr>
      <w:spacing w:before="240"/>
    </w:pPr>
    <w:rPr>
      <w:rFonts w:ascii="Times New Roman" w:hAnsi="Times New Roman"/>
      <w:smallCaps/>
      <w:spacing w:val="80"/>
      <w:sz w:val="28"/>
    </w:rPr>
  </w:style>
  <w:style w:type="paragraph" w:customStyle="1" w:styleId="InChapter">
    <w:name w:val="InChapter"/>
    <w:basedOn w:val="Heading3"/>
    <w:rsid w:val="00C01AE3"/>
    <w:pPr>
      <w:spacing w:after="240"/>
      <w:outlineLvl w:val="9"/>
    </w:pPr>
    <w:rPr>
      <w:noProof/>
    </w:rPr>
  </w:style>
  <w:style w:type="paragraph" w:styleId="Index2">
    <w:name w:val="index 2"/>
    <w:basedOn w:val="Normal"/>
    <w:next w:val="Normal"/>
    <w:semiHidden/>
    <w:rsid w:val="00C01AE3"/>
    <w:pPr>
      <w:tabs>
        <w:tab w:val="right" w:pos="4176"/>
      </w:tabs>
      <w:ind w:left="568" w:hanging="284"/>
    </w:pPr>
    <w:rPr>
      <w:rFonts w:ascii="Garamond" w:hAnsi="Garamond"/>
    </w:rPr>
  </w:style>
  <w:style w:type="paragraph" w:customStyle="1" w:styleId="Byline">
    <w:name w:val="Byline"/>
    <w:rsid w:val="00C01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AE3"/>
    <w:pPr>
      <w:tabs>
        <w:tab w:val="clear" w:pos="3600"/>
        <w:tab w:val="clear" w:pos="3958"/>
      </w:tabs>
      <w:jc w:val="right"/>
    </w:pPr>
  </w:style>
  <w:style w:type="character" w:styleId="Emphasis">
    <w:name w:val="Emphasis"/>
    <w:basedOn w:val="DefaultParagraphFont"/>
    <w:qFormat/>
    <w:rsid w:val="00C01AE3"/>
    <w:rPr>
      <w:i/>
    </w:rPr>
  </w:style>
  <w:style w:type="paragraph" w:styleId="Caption">
    <w:name w:val="caption"/>
    <w:basedOn w:val="BodyText"/>
    <w:next w:val="Normal"/>
    <w:qFormat/>
    <w:rsid w:val="00C01AE3"/>
    <w:pPr>
      <w:framePr w:w="2268" w:hSpace="181" w:vSpace="181" w:wrap="around" w:vAnchor="text" w:hAnchor="page" w:x="1135" w:y="285" w:anchorLock="1"/>
    </w:pPr>
    <w:rPr>
      <w:i/>
    </w:rPr>
  </w:style>
  <w:style w:type="paragraph" w:customStyle="1" w:styleId="MiniTOCTitle">
    <w:name w:val="MiniTOCTitle"/>
    <w:basedOn w:val="Heading4"/>
    <w:rsid w:val="00C01AE3"/>
    <w:pPr>
      <w:spacing w:before="240"/>
      <w:outlineLvl w:val="9"/>
    </w:pPr>
    <w:rPr>
      <w:noProof/>
      <w:sz w:val="24"/>
    </w:rPr>
  </w:style>
  <w:style w:type="paragraph" w:customStyle="1" w:styleId="MiniTOCItem">
    <w:name w:val="MiniTOCItem"/>
    <w:basedOn w:val="ListBullet"/>
    <w:rsid w:val="00C01AE3"/>
    <w:pPr>
      <w:numPr>
        <w:numId w:val="0"/>
      </w:numPr>
      <w:tabs>
        <w:tab w:val="right" w:leader="dot" w:pos="6521"/>
      </w:tabs>
      <w:spacing w:before="0" w:after="0"/>
    </w:pPr>
  </w:style>
  <w:style w:type="paragraph" w:customStyle="1" w:styleId="TOFTitle">
    <w:name w:val="TOFTitle"/>
    <w:basedOn w:val="TOCTitle"/>
    <w:rsid w:val="00C01AE3"/>
  </w:style>
  <w:style w:type="paragraph" w:styleId="TableofFigures">
    <w:name w:val="table of figures"/>
    <w:basedOn w:val="Normal"/>
    <w:next w:val="Normal"/>
    <w:semiHidden/>
    <w:rsid w:val="00C01AE3"/>
    <w:pPr>
      <w:tabs>
        <w:tab w:val="right" w:leader="dot" w:pos="9072"/>
      </w:tabs>
      <w:ind w:left="970" w:hanging="403"/>
    </w:pPr>
    <w:rPr>
      <w:rFonts w:ascii="Times New Roman" w:hAnsi="Times New Roman"/>
      <w:b/>
    </w:rPr>
  </w:style>
  <w:style w:type="paragraph" w:styleId="ListNumber">
    <w:name w:val="List Number"/>
    <w:basedOn w:val="List"/>
    <w:rsid w:val="00C01AE3"/>
    <w:pPr>
      <w:numPr>
        <w:numId w:val="13"/>
      </w:numPr>
      <w:tabs>
        <w:tab w:val="clear" w:pos="340"/>
      </w:tabs>
    </w:pPr>
  </w:style>
  <w:style w:type="character" w:customStyle="1" w:styleId="WingdingSymbols">
    <w:name w:val="Wingding Symbols"/>
    <w:rsid w:val="00C01AE3"/>
    <w:rPr>
      <w:rFonts w:ascii="Wingdings" w:hAnsi="Wingdings"/>
    </w:rPr>
  </w:style>
  <w:style w:type="paragraph" w:customStyle="1" w:styleId="TableHeading">
    <w:name w:val="Table Heading"/>
    <w:basedOn w:val="HeadingBase"/>
    <w:rsid w:val="00C01AE3"/>
    <w:pPr>
      <w:keepLines/>
      <w:pBdr>
        <w:bottom w:val="single" w:sz="6" w:space="1" w:color="918585"/>
      </w:pBdr>
      <w:spacing w:before="240"/>
    </w:pPr>
  </w:style>
  <w:style w:type="character" w:customStyle="1" w:styleId="HotSpot">
    <w:name w:val="HotSpot"/>
    <w:rsid w:val="00C01AE3"/>
    <w:rPr>
      <w:color w:val="0033CC"/>
      <w:u w:val="none"/>
    </w:rPr>
  </w:style>
  <w:style w:type="paragraph" w:customStyle="1" w:styleId="BodyTextRight">
    <w:name w:val="Body Text Right"/>
    <w:basedOn w:val="BodyText"/>
    <w:rsid w:val="00C01AE3"/>
    <w:pPr>
      <w:spacing w:before="0" w:after="0"/>
      <w:jc w:val="right"/>
    </w:pPr>
  </w:style>
  <w:style w:type="paragraph" w:styleId="Index3">
    <w:name w:val="index 3"/>
    <w:basedOn w:val="ListNumber2"/>
    <w:next w:val="Normal"/>
    <w:semiHidden/>
    <w:rsid w:val="00C01AE3"/>
    <w:pPr>
      <w:numPr>
        <w:numId w:val="0"/>
      </w:numPr>
      <w:tabs>
        <w:tab w:val="right" w:leader="dot" w:pos="4176"/>
      </w:tabs>
    </w:pPr>
  </w:style>
  <w:style w:type="paragraph" w:styleId="ListNumber2">
    <w:name w:val="List Number 2"/>
    <w:basedOn w:val="List2"/>
    <w:rsid w:val="00C01AE3"/>
    <w:pPr>
      <w:numPr>
        <w:numId w:val="8"/>
      </w:numPr>
      <w:tabs>
        <w:tab w:val="clear" w:pos="1060"/>
      </w:tabs>
    </w:pPr>
  </w:style>
  <w:style w:type="paragraph" w:customStyle="1" w:styleId="MarginNote">
    <w:name w:val="Margin Note"/>
    <w:basedOn w:val="BodyText"/>
    <w:rsid w:val="00C01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AE3"/>
    <w:rPr>
      <w:sz w:val="32"/>
    </w:rPr>
  </w:style>
  <w:style w:type="paragraph" w:customStyle="1" w:styleId="HeadingProcedure">
    <w:name w:val="Heading Procedure"/>
    <w:basedOn w:val="HeadingBase"/>
    <w:next w:val="Normal"/>
    <w:rsid w:val="00C01AE3"/>
    <w:pPr>
      <w:tabs>
        <w:tab w:val="left" w:pos="0"/>
      </w:tabs>
      <w:spacing w:before="120" w:after="60"/>
    </w:pPr>
    <w:rPr>
      <w:i/>
      <w:color w:val="918585"/>
      <w:sz w:val="22"/>
    </w:rPr>
  </w:style>
  <w:style w:type="paragraph" w:customStyle="1" w:styleId="TableBodyText">
    <w:name w:val="Table Body Text"/>
    <w:basedOn w:val="BodyText"/>
    <w:rsid w:val="00C01AE3"/>
    <w:pPr>
      <w:spacing w:before="60" w:after="60"/>
    </w:pPr>
  </w:style>
  <w:style w:type="paragraph" w:styleId="ListContinue">
    <w:name w:val="List Continue"/>
    <w:basedOn w:val="List"/>
    <w:rsid w:val="00C01AE3"/>
    <w:pPr>
      <w:ind w:firstLine="0"/>
    </w:pPr>
  </w:style>
  <w:style w:type="paragraph" w:customStyle="1" w:styleId="ListNote">
    <w:name w:val="List Note"/>
    <w:basedOn w:val="List"/>
    <w:rsid w:val="00C01AE3"/>
    <w:pPr>
      <w:pBdr>
        <w:top w:val="single" w:sz="6" w:space="2" w:color="918585"/>
        <w:bottom w:val="single" w:sz="6" w:space="2" w:color="918585"/>
      </w:pBdr>
      <w:tabs>
        <w:tab w:val="left" w:pos="1021"/>
      </w:tabs>
      <w:ind w:firstLine="0"/>
    </w:pPr>
  </w:style>
  <w:style w:type="paragraph" w:customStyle="1" w:styleId="Warning">
    <w:name w:val="Warning"/>
    <w:basedOn w:val="BodyText"/>
    <w:rsid w:val="00C01AE3"/>
    <w:pPr>
      <w:shd w:val="clear" w:color="auto" w:fill="D9D9D9"/>
      <w:tabs>
        <w:tab w:val="left" w:pos="992"/>
      </w:tabs>
      <w:ind w:left="119" w:right="119"/>
    </w:pPr>
    <w:rPr>
      <w:sz w:val="20"/>
    </w:rPr>
  </w:style>
  <w:style w:type="paragraph" w:customStyle="1" w:styleId="MarginIcons">
    <w:name w:val="Margin Icons"/>
    <w:basedOn w:val="BodyText"/>
    <w:rsid w:val="00C01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AE3"/>
    <w:rPr>
      <w:rFonts w:ascii="Courier New" w:hAnsi="Courier New"/>
    </w:rPr>
  </w:style>
  <w:style w:type="paragraph" w:customStyle="1" w:styleId="NoteBullet">
    <w:name w:val="Note Bullet"/>
    <w:basedOn w:val="Note"/>
    <w:rsid w:val="00C01AE3"/>
    <w:pPr>
      <w:tabs>
        <w:tab w:val="clear" w:pos="680"/>
      </w:tabs>
      <w:spacing w:before="60" w:after="60"/>
    </w:pPr>
  </w:style>
  <w:style w:type="paragraph" w:customStyle="1" w:styleId="SubHeading2">
    <w:name w:val="SubHeading2"/>
    <w:basedOn w:val="HeadingBase"/>
    <w:rsid w:val="00C01AE3"/>
    <w:pPr>
      <w:spacing w:before="240" w:after="60"/>
    </w:pPr>
    <w:rPr>
      <w:sz w:val="20"/>
    </w:rPr>
  </w:style>
  <w:style w:type="paragraph" w:customStyle="1" w:styleId="SubHeading1">
    <w:name w:val="SubHeading1"/>
    <w:basedOn w:val="HeadingBase"/>
    <w:rsid w:val="00C01AE3"/>
    <w:pPr>
      <w:spacing w:before="240" w:after="60"/>
    </w:pPr>
    <w:rPr>
      <w:color w:val="918585"/>
      <w:sz w:val="22"/>
    </w:rPr>
  </w:style>
  <w:style w:type="paragraph" w:customStyle="1" w:styleId="SideHeading">
    <w:name w:val="Side Heading"/>
    <w:basedOn w:val="HeadingBase"/>
    <w:rsid w:val="00C01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AE3"/>
    <w:pPr>
      <w:numPr>
        <w:numId w:val="9"/>
      </w:numPr>
    </w:pPr>
  </w:style>
  <w:style w:type="paragraph" w:styleId="PlainText">
    <w:name w:val="Plain Text"/>
    <w:basedOn w:val="Normal"/>
    <w:link w:val="PlainTextChar"/>
    <w:rsid w:val="00C01AE3"/>
    <w:rPr>
      <w:sz w:val="20"/>
    </w:rPr>
  </w:style>
  <w:style w:type="character" w:customStyle="1" w:styleId="PlainTextChar">
    <w:name w:val="Plain Text Char"/>
    <w:basedOn w:val="DefaultParagraphFont"/>
    <w:link w:val="PlainText"/>
    <w:rsid w:val="00C01AE3"/>
    <w:rPr>
      <w:rFonts w:ascii="Courier New" w:eastAsia="Times New Roman" w:hAnsi="Courier New" w:cs="Times New Roman"/>
      <w:sz w:val="20"/>
      <w:szCs w:val="20"/>
      <w:lang w:eastAsia="en-US"/>
    </w:rPr>
  </w:style>
  <w:style w:type="character" w:customStyle="1" w:styleId="MenuOption">
    <w:name w:val="Menu Option"/>
    <w:basedOn w:val="DefaultParagraphFont"/>
    <w:rsid w:val="00C01AE3"/>
    <w:rPr>
      <w:b/>
      <w:smallCaps/>
    </w:rPr>
  </w:style>
  <w:style w:type="paragraph" w:customStyle="1" w:styleId="TableListNumber">
    <w:name w:val="Table List Number"/>
    <w:basedOn w:val="ListNumber"/>
    <w:rsid w:val="00C01AE3"/>
    <w:pPr>
      <w:numPr>
        <w:numId w:val="0"/>
      </w:numPr>
    </w:pPr>
  </w:style>
  <w:style w:type="paragraph" w:styleId="TOC4">
    <w:name w:val="toc 4"/>
    <w:basedOn w:val="TOCBase"/>
    <w:next w:val="Normal"/>
    <w:semiHidden/>
    <w:rsid w:val="00C01AE3"/>
    <w:pPr>
      <w:tabs>
        <w:tab w:val="right" w:leader="dot" w:pos="9071"/>
      </w:tabs>
      <w:ind w:left="1701"/>
    </w:pPr>
  </w:style>
  <w:style w:type="paragraph" w:customStyle="1" w:styleId="ListAlpha">
    <w:name w:val="List Alpha"/>
    <w:basedOn w:val="List"/>
    <w:rsid w:val="00C01AE3"/>
    <w:pPr>
      <w:numPr>
        <w:numId w:val="7"/>
      </w:numPr>
    </w:pPr>
  </w:style>
  <w:style w:type="paragraph" w:customStyle="1" w:styleId="ListAlpha2">
    <w:name w:val="List Alpha 2"/>
    <w:basedOn w:val="List2"/>
    <w:rsid w:val="00C01AE3"/>
    <w:pPr>
      <w:numPr>
        <w:numId w:val="6"/>
      </w:numPr>
    </w:pPr>
  </w:style>
  <w:style w:type="paragraph" w:styleId="List2">
    <w:name w:val="List 2"/>
    <w:basedOn w:val="BodyText"/>
    <w:rsid w:val="00C01AE3"/>
    <w:pPr>
      <w:tabs>
        <w:tab w:val="left" w:pos="680"/>
      </w:tabs>
      <w:spacing w:before="60" w:after="60"/>
      <w:ind w:left="680" w:hanging="340"/>
    </w:pPr>
  </w:style>
  <w:style w:type="paragraph" w:styleId="List3">
    <w:name w:val="List 3"/>
    <w:basedOn w:val="BodyText"/>
    <w:rsid w:val="00C01AE3"/>
    <w:pPr>
      <w:tabs>
        <w:tab w:val="left" w:pos="1021"/>
      </w:tabs>
      <w:spacing w:before="60" w:after="60"/>
      <w:ind w:left="1020" w:hanging="340"/>
    </w:pPr>
  </w:style>
  <w:style w:type="paragraph" w:styleId="List4">
    <w:name w:val="List 4"/>
    <w:basedOn w:val="BodyText"/>
    <w:rsid w:val="00C01AE3"/>
    <w:pPr>
      <w:tabs>
        <w:tab w:val="left" w:pos="1361"/>
      </w:tabs>
      <w:spacing w:before="60" w:after="60"/>
      <w:ind w:left="1361" w:hanging="340"/>
    </w:pPr>
  </w:style>
  <w:style w:type="paragraph" w:styleId="List5">
    <w:name w:val="List 5"/>
    <w:basedOn w:val="BodyText"/>
    <w:rsid w:val="00C01AE3"/>
    <w:pPr>
      <w:tabs>
        <w:tab w:val="left" w:pos="1701"/>
      </w:tabs>
      <w:spacing w:before="60" w:after="60"/>
      <w:ind w:left="1701" w:hanging="340"/>
    </w:pPr>
  </w:style>
  <w:style w:type="paragraph" w:styleId="ListBullet3">
    <w:name w:val="List Bullet 3"/>
    <w:basedOn w:val="List3"/>
    <w:rsid w:val="00C01AE3"/>
    <w:pPr>
      <w:numPr>
        <w:numId w:val="12"/>
      </w:numPr>
      <w:tabs>
        <w:tab w:val="clear" w:pos="1021"/>
      </w:tabs>
      <w:ind w:left="1037" w:hanging="357"/>
    </w:pPr>
  </w:style>
  <w:style w:type="paragraph" w:styleId="ListBullet4">
    <w:name w:val="List Bullet 4"/>
    <w:basedOn w:val="List4"/>
    <w:rsid w:val="00C01AE3"/>
    <w:pPr>
      <w:numPr>
        <w:numId w:val="1"/>
      </w:numPr>
      <w:tabs>
        <w:tab w:val="clear" w:pos="1361"/>
      </w:tabs>
    </w:pPr>
  </w:style>
  <w:style w:type="paragraph" w:styleId="ListBullet5">
    <w:name w:val="List Bullet 5"/>
    <w:basedOn w:val="List5"/>
    <w:rsid w:val="00C01AE3"/>
    <w:pPr>
      <w:numPr>
        <w:numId w:val="2"/>
      </w:numPr>
    </w:pPr>
  </w:style>
  <w:style w:type="paragraph" w:styleId="ListContinue2">
    <w:name w:val="List Continue 2"/>
    <w:basedOn w:val="List2"/>
    <w:rsid w:val="00C01AE3"/>
    <w:pPr>
      <w:ind w:firstLine="0"/>
    </w:pPr>
  </w:style>
  <w:style w:type="paragraph" w:styleId="ListContinue3">
    <w:name w:val="List Continue 3"/>
    <w:basedOn w:val="List3"/>
    <w:rsid w:val="00C01AE3"/>
    <w:pPr>
      <w:ind w:left="1021" w:firstLine="0"/>
    </w:pPr>
  </w:style>
  <w:style w:type="paragraph" w:styleId="ListContinue4">
    <w:name w:val="List Continue 4"/>
    <w:basedOn w:val="List4"/>
    <w:rsid w:val="00C01AE3"/>
    <w:pPr>
      <w:ind w:firstLine="0"/>
    </w:pPr>
  </w:style>
  <w:style w:type="paragraph" w:styleId="ListContinue5">
    <w:name w:val="List Continue 5"/>
    <w:basedOn w:val="List5"/>
    <w:rsid w:val="00C01AE3"/>
    <w:pPr>
      <w:ind w:firstLine="0"/>
    </w:pPr>
  </w:style>
  <w:style w:type="paragraph" w:styleId="ListNumber3">
    <w:name w:val="List Number 3"/>
    <w:basedOn w:val="List3"/>
    <w:rsid w:val="00C01AE3"/>
    <w:pPr>
      <w:numPr>
        <w:numId w:val="3"/>
      </w:numPr>
    </w:pPr>
  </w:style>
  <w:style w:type="paragraph" w:styleId="ListNumber4">
    <w:name w:val="List Number 4"/>
    <w:basedOn w:val="List4"/>
    <w:rsid w:val="00C01AE3"/>
    <w:pPr>
      <w:numPr>
        <w:numId w:val="4"/>
      </w:numPr>
    </w:pPr>
  </w:style>
  <w:style w:type="paragraph" w:styleId="ListNumber5">
    <w:name w:val="List Number 5"/>
    <w:basedOn w:val="List5"/>
    <w:rsid w:val="00C01AE3"/>
    <w:pPr>
      <w:numPr>
        <w:numId w:val="5"/>
      </w:numPr>
    </w:pPr>
  </w:style>
  <w:style w:type="paragraph" w:styleId="BlockText">
    <w:name w:val="Block Text"/>
    <w:basedOn w:val="Normal"/>
    <w:rsid w:val="00C01AE3"/>
    <w:pPr>
      <w:spacing w:after="120"/>
      <w:ind w:left="1440" w:right="1440"/>
    </w:pPr>
  </w:style>
  <w:style w:type="character" w:customStyle="1" w:styleId="Subscript">
    <w:name w:val="Subscript"/>
    <w:basedOn w:val="DefaultParagraphFont"/>
    <w:rsid w:val="00C01AE3"/>
    <w:rPr>
      <w:sz w:val="16"/>
      <w:vertAlign w:val="subscript"/>
    </w:rPr>
  </w:style>
  <w:style w:type="character" w:customStyle="1" w:styleId="Superscript">
    <w:name w:val="Superscript"/>
    <w:basedOn w:val="DefaultParagraphFont"/>
    <w:rsid w:val="00C01AE3"/>
    <w:rPr>
      <w:sz w:val="16"/>
      <w:vertAlign w:val="superscript"/>
    </w:rPr>
  </w:style>
  <w:style w:type="character" w:customStyle="1" w:styleId="Symbols">
    <w:name w:val="Symbols"/>
    <w:basedOn w:val="DefaultParagraphFont"/>
    <w:rsid w:val="00C01AE3"/>
    <w:rPr>
      <w:rFonts w:ascii="Symbol" w:hAnsi="Symbol"/>
    </w:rPr>
  </w:style>
  <w:style w:type="character" w:customStyle="1" w:styleId="MenuOptions">
    <w:name w:val="Menu Options"/>
    <w:basedOn w:val="DefaultParagraphFont"/>
    <w:rsid w:val="00C01AE3"/>
    <w:rPr>
      <w:rFonts w:ascii="Arial Narrow" w:hAnsi="Arial Narrow"/>
      <w:smallCaps/>
    </w:rPr>
  </w:style>
  <w:style w:type="character" w:customStyle="1" w:styleId="Buttons">
    <w:name w:val="Buttons"/>
    <w:basedOn w:val="DefaultParagraphFont"/>
    <w:rsid w:val="00C01AE3"/>
    <w:rPr>
      <w:b/>
    </w:rPr>
  </w:style>
  <w:style w:type="character" w:customStyle="1" w:styleId="Underlined">
    <w:name w:val="Underlined"/>
    <w:basedOn w:val="DefaultParagraphFont"/>
    <w:rsid w:val="00C01AE3"/>
    <w:rPr>
      <w:u w:val="single"/>
    </w:rPr>
  </w:style>
  <w:style w:type="paragraph" w:customStyle="1" w:styleId="TableBodyTextRight">
    <w:name w:val="Table Body Text Right"/>
    <w:basedOn w:val="TableBodyText"/>
    <w:rsid w:val="00C01AE3"/>
    <w:pPr>
      <w:widowControl w:val="0"/>
      <w:autoSpaceDE w:val="0"/>
      <w:autoSpaceDN w:val="0"/>
      <w:adjustRightInd w:val="0"/>
      <w:jc w:val="right"/>
    </w:pPr>
    <w:rPr>
      <w:rFonts w:cs="Arial"/>
      <w:szCs w:val="18"/>
    </w:rPr>
  </w:style>
  <w:style w:type="paragraph" w:customStyle="1" w:styleId="CopyrightText">
    <w:name w:val="Copyright Text"/>
    <w:basedOn w:val="BodyText"/>
    <w:rsid w:val="00C01AE3"/>
    <w:rPr>
      <w:sz w:val="18"/>
    </w:rPr>
  </w:style>
  <w:style w:type="paragraph" w:customStyle="1" w:styleId="BodySmallRight">
    <w:name w:val="Body Small Right"/>
    <w:basedOn w:val="BodyTextRight"/>
    <w:rsid w:val="00C01AE3"/>
    <w:rPr>
      <w:sz w:val="18"/>
      <w:szCs w:val="18"/>
    </w:rPr>
  </w:style>
  <w:style w:type="paragraph" w:customStyle="1" w:styleId="MarginEdition">
    <w:name w:val="Margin Edition"/>
    <w:basedOn w:val="MarginNote"/>
    <w:rsid w:val="00C01AE3"/>
    <w:pPr>
      <w:spacing w:before="0" w:after="0"/>
    </w:pPr>
    <w:rPr>
      <w:rFonts w:ascii="Times New Roman" w:hAnsi="Times New Roman"/>
      <w:color w:val="999999"/>
    </w:rPr>
  </w:style>
  <w:style w:type="paragraph" w:customStyle="1" w:styleId="Spacer">
    <w:name w:val="Spacer"/>
    <w:basedOn w:val="Normal"/>
    <w:rsid w:val="00C01AE3"/>
    <w:rPr>
      <w:sz w:val="2"/>
      <w:szCs w:val="2"/>
    </w:rPr>
  </w:style>
  <w:style w:type="character" w:customStyle="1" w:styleId="Small">
    <w:name w:val="Small"/>
    <w:basedOn w:val="DefaultParagraphFont"/>
    <w:rsid w:val="00C01AE3"/>
    <w:rPr>
      <w:sz w:val="16"/>
    </w:rPr>
  </w:style>
  <w:style w:type="paragraph" w:customStyle="1" w:styleId="WideTable">
    <w:name w:val="Wide Table"/>
    <w:basedOn w:val="Normal"/>
    <w:rsid w:val="00C01AE3"/>
    <w:pPr>
      <w:ind w:left="-1418"/>
    </w:pPr>
    <w:rPr>
      <w:sz w:val="2"/>
      <w:szCs w:val="2"/>
    </w:rPr>
  </w:style>
  <w:style w:type="character" w:styleId="PageNumber">
    <w:name w:val="page number"/>
    <w:basedOn w:val="DefaultParagraphFont"/>
    <w:rsid w:val="00C01AE3"/>
  </w:style>
  <w:style w:type="paragraph" w:styleId="Quote">
    <w:name w:val="Quote"/>
    <w:basedOn w:val="Heading1"/>
    <w:link w:val="QuoteChar"/>
    <w:qFormat/>
    <w:rsid w:val="00C01AE3"/>
    <w:rPr>
      <w:b w:val="0"/>
      <w:sz w:val="72"/>
      <w:szCs w:val="72"/>
      <w:lang w:val="en-NZ"/>
    </w:rPr>
  </w:style>
  <w:style w:type="character" w:customStyle="1" w:styleId="QuoteChar">
    <w:name w:val="Quote Char"/>
    <w:basedOn w:val="DefaultParagraphFont"/>
    <w:link w:val="Quote"/>
    <w:rsid w:val="00C01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AE3"/>
    <w:pPr>
      <w:pageBreakBefore/>
    </w:pPr>
  </w:style>
  <w:style w:type="paragraph" w:customStyle="1" w:styleId="Border">
    <w:name w:val="Border"/>
    <w:basedOn w:val="Normal"/>
    <w:qFormat/>
    <w:rsid w:val="00C01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AE3"/>
    <w:rPr>
      <w:b/>
      <w:bCs/>
      <w:i/>
      <w:iCs/>
      <w:color w:val="auto"/>
    </w:rPr>
  </w:style>
  <w:style w:type="paragraph" w:styleId="IntenseQuote">
    <w:name w:val="Intense Quote"/>
    <w:basedOn w:val="Normal"/>
    <w:next w:val="Normal"/>
    <w:link w:val="IntenseQuoteChar"/>
    <w:uiPriority w:val="30"/>
    <w:qFormat/>
    <w:rsid w:val="00C01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AE3"/>
    <w:rPr>
      <w:smallCaps/>
      <w:color w:val="auto"/>
      <w:u w:val="single"/>
    </w:rPr>
  </w:style>
  <w:style w:type="character" w:styleId="IntenseReference">
    <w:name w:val="Intense Reference"/>
    <w:basedOn w:val="DefaultParagraphFont"/>
    <w:uiPriority w:val="32"/>
    <w:qFormat/>
    <w:rsid w:val="00C01AE3"/>
    <w:rPr>
      <w:b/>
      <w:bCs/>
      <w:smallCaps/>
      <w:color w:val="auto"/>
      <w:spacing w:val="5"/>
      <w:u w:val="single"/>
    </w:rPr>
  </w:style>
  <w:style w:type="paragraph" w:customStyle="1" w:styleId="2ColumnHeading">
    <w:name w:val="2Column Heading"/>
    <w:basedOn w:val="BodyText"/>
    <w:qFormat/>
    <w:rsid w:val="00C01AE3"/>
    <w:pPr>
      <w:spacing w:after="60"/>
      <w:ind w:left="-2268"/>
    </w:pPr>
    <w:rPr>
      <w:b/>
    </w:rPr>
  </w:style>
  <w:style w:type="paragraph" w:customStyle="1" w:styleId="Heading1TOC">
    <w:name w:val="Heading1 TOC"/>
    <w:basedOn w:val="Normal"/>
    <w:qFormat/>
    <w:rsid w:val="00C01AE3"/>
    <w:pPr>
      <w:spacing w:before="240" w:after="120"/>
    </w:pPr>
    <w:rPr>
      <w:rFonts w:ascii="Times New Roman" w:hAnsi="Times New Roman"/>
      <w:b/>
      <w:sz w:val="32"/>
    </w:rPr>
  </w:style>
  <w:style w:type="paragraph" w:customStyle="1" w:styleId="Heading2TOC">
    <w:name w:val="Heading2 TOC"/>
    <w:basedOn w:val="Normal"/>
    <w:qFormat/>
    <w:rsid w:val="00C01AE3"/>
    <w:pPr>
      <w:spacing w:before="240" w:after="60"/>
    </w:pPr>
    <w:rPr>
      <w:rFonts w:ascii="Times New Roman" w:hAnsi="Times New Roman"/>
      <w:b/>
      <w:sz w:val="28"/>
    </w:rPr>
  </w:style>
  <w:style w:type="character" w:customStyle="1" w:styleId="Underline">
    <w:name w:val="Underline"/>
    <w:basedOn w:val="DefaultParagraphFont"/>
    <w:qFormat/>
    <w:rsid w:val="00C01AE3"/>
    <w:rPr>
      <w:u w:val="single"/>
    </w:rPr>
  </w:style>
  <w:style w:type="character" w:customStyle="1" w:styleId="BoldandItalics">
    <w:name w:val="Bold and Italics"/>
    <w:qFormat/>
    <w:rsid w:val="00C01AE3"/>
    <w:rPr>
      <w:b/>
      <w:i/>
      <w:u w:val="none"/>
    </w:rPr>
  </w:style>
  <w:style w:type="paragraph" w:styleId="BalloonText">
    <w:name w:val="Balloon Text"/>
    <w:basedOn w:val="Normal"/>
    <w:link w:val="BalloonTextChar"/>
    <w:rsid w:val="00C01AE3"/>
    <w:rPr>
      <w:rFonts w:ascii="Tahoma" w:hAnsi="Tahoma" w:cs="Tahoma"/>
      <w:sz w:val="16"/>
      <w:szCs w:val="16"/>
    </w:rPr>
  </w:style>
  <w:style w:type="character" w:customStyle="1" w:styleId="BalloonTextChar">
    <w:name w:val="Balloon Text Char"/>
    <w:basedOn w:val="DefaultParagraphFont"/>
    <w:link w:val="BalloonText"/>
    <w:rsid w:val="00C01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AE3"/>
    <w:rPr>
      <w:b/>
      <w:color w:val="660033"/>
      <w:spacing w:val="0"/>
    </w:rPr>
  </w:style>
  <w:style w:type="paragraph" w:customStyle="1" w:styleId="Nameditemlist">
    <w:name w:val="Named item list"/>
    <w:basedOn w:val="BodyText"/>
    <w:qFormat/>
    <w:rsid w:val="00C01AE3"/>
    <w:pPr>
      <w:tabs>
        <w:tab w:val="left" w:pos="2835"/>
      </w:tabs>
      <w:ind w:left="2835" w:hanging="2835"/>
    </w:pPr>
  </w:style>
  <w:style w:type="paragraph" w:customStyle="1" w:styleId="BodyTextnopadding">
    <w:name w:val="Body Text no padding"/>
    <w:basedOn w:val="BodyText"/>
    <w:qFormat/>
    <w:rsid w:val="00C01AE3"/>
    <w:pPr>
      <w:spacing w:before="0" w:after="0"/>
    </w:pPr>
  </w:style>
  <w:style w:type="paragraph" w:customStyle="1" w:styleId="BodyTextBold">
    <w:name w:val="Body Text Bold"/>
    <w:basedOn w:val="BodyText"/>
    <w:qFormat/>
    <w:rsid w:val="00C01AE3"/>
    <w:rPr>
      <w:b/>
    </w:rPr>
  </w:style>
  <w:style w:type="character" w:styleId="Hyperlink">
    <w:name w:val="Hyperlink"/>
    <w:basedOn w:val="DefaultParagraphFont"/>
    <w:uiPriority w:val="99"/>
    <w:unhideWhenUsed/>
    <w:rsid w:val="003B71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6757</Characters>
  <Application>Microsoft Office Word</Application>
  <DocSecurity>0</DocSecurity>
  <Lines>355</Lines>
  <Paragraphs>153</Paragraphs>
  <ScaleCrop>false</ScaleCrop>
  <Company>Author-it Software Corporation Ltd.</Company>
  <LinksUpToDate>false</LinksUpToDate>
  <CharactersWithSpaces>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MSS025021 Collect and evaluate groundwater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2022-12-07T02:07:00Z</dcterms:created>
  <dcterms:modified xsi:type="dcterms:W3CDTF">2022-12-07T02:07:00Z</dcterms:modified>
</cp:coreProperties>
</file>