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086D" w:rsidP="0076086D">
      <w:pPr>
        <w:pStyle w:val="Title"/>
      </w:pPr>
      <w:r>
        <w:fldChar w:fldCharType="begin"/>
      </w:r>
      <w:r>
        <w:instrText xml:space="preserve"> TITLE   \* MERGEFORMAT </w:instrText>
      </w:r>
      <w:r>
        <w:fldChar w:fldCharType="separate"/>
      </w:r>
      <w:r>
        <w:t>MSS025010 Assist with odour source assessment</w:t>
      </w:r>
      <w:r>
        <w:fldChar w:fldCharType="end"/>
      </w:r>
    </w:p>
    <w:p w:rsidR="0076086D" w:rsidP="0076086D">
      <w:pPr>
        <w:pStyle w:val="Version"/>
        <w:sectPr w:rsidSect="00A01B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1BAE" w:rsidP="00A01BAE">
      <w:pPr>
        <w:pStyle w:val="SuperHeading"/>
      </w:pPr>
      <w:r w:rsidRPr="00A01BAE">
        <w:t>MSS025010 Assist with odour source assessment</w:t>
      </w:r>
    </w:p>
    <w:p w:rsidR="00000000" w:rsidRPr="00A01BAE" w:rsidP="00A01BAE">
      <w:pPr>
        <w:pStyle w:val="Heading1"/>
      </w:pPr>
      <w:bookmarkStart w:id="1" w:name="O_922431"/>
      <w:bookmarkEnd w:id="1"/>
      <w:r w:rsidRPr="00A01BAE">
        <w:t>Modification History</w:t>
      </w:r>
    </w:p>
    <w:p w:rsidR="00000000" w:rsidRPr="00A01BAE" w:rsidP="0076086D">
      <w:pPr>
        <w:pStyle w:val="BodyText"/>
      </w:pPr>
      <w:r w:rsidRPr="00A01BAE">
        <w:t>Release 1. Supersedes and is equivalent to MSS025010A Assist with odour source assessment</w:t>
      </w:r>
    </w:p>
    <w:p w:rsidR="00000000" w:rsidRPr="00A01BAE" w:rsidP="00A01BAE">
      <w:pPr>
        <w:pStyle w:val="Heading1"/>
      </w:pPr>
      <w:bookmarkStart w:id="2" w:name="O_922439"/>
      <w:bookmarkEnd w:id="2"/>
      <w:r w:rsidRPr="00A01BAE">
        <w:t>Application</w:t>
      </w:r>
    </w:p>
    <w:p w:rsidR="00000000" w:rsidRPr="00A01BAE" w:rsidP="0076086D">
      <w:pPr>
        <w:pStyle w:val="BodyText"/>
      </w:pPr>
      <w:r w:rsidRPr="00A01BAE">
        <w:t>This unit of competency covers the ability to assist air quality scientists and engineers with assessing odo</w:t>
      </w:r>
      <w:r w:rsidRPr="00A01BAE">
        <w:t xml:space="preserve">ur emissions from sites and the effectiveness of odour abatement systems. Personnel use site sampling and monitoring plans, workplace procedures and/or standardised methods to collect odour samples and conduct olfactometry measurements using panellists in </w:t>
      </w:r>
      <w:r w:rsidRPr="00A01BAE">
        <w:t xml:space="preserve">the laboratory. </w:t>
      </w:r>
    </w:p>
    <w:p w:rsidR="00000000" w:rsidRPr="00A01BAE" w:rsidP="0076086D">
      <w:pPr>
        <w:pStyle w:val="BodyText"/>
      </w:pPr>
      <w:r w:rsidRPr="00A01BAE">
        <w:t>This unit of competency is applicable to environmental technicians working in a range of industry sectors, such as environmental services (e.g. sampling and monitoring of air, odours and air quality consultancy); environmental compliance,</w:t>
      </w:r>
      <w:r w:rsidRPr="00A01BAE">
        <w:t xml:space="preserve"> auditing and inspection; chemical, food and by-product process manufacturing; solid waste management; water treatment and wastewater management; agricultural/livestock activities; landfill operations and rendering operations.</w:t>
      </w:r>
    </w:p>
    <w:p w:rsidR="00000000" w:rsidRPr="00A01BAE" w:rsidP="0076086D">
      <w:pPr>
        <w:pStyle w:val="BodyText"/>
      </w:pPr>
      <w:r w:rsidRPr="00A01BAE">
        <w:t xml:space="preserve">While no specific licensing </w:t>
      </w:r>
      <w:r w:rsidRPr="00A01BAE">
        <w:t>or certification requirements apply to this unit at the time of publication, environmental monitoring and management activities are governed by relevant legislation, regulations and/or external accreditation requirements. Local requirements should be check</w:t>
      </w:r>
      <w:r w:rsidRPr="00A01BAE">
        <w:t>ed.</w:t>
      </w:r>
    </w:p>
    <w:p w:rsidR="00000000" w:rsidRPr="00A01BAE" w:rsidP="00A01BAE">
      <w:pPr>
        <w:pStyle w:val="Heading1"/>
      </w:pPr>
      <w:bookmarkStart w:id="3" w:name="O_922438"/>
      <w:bookmarkEnd w:id="3"/>
      <w:r w:rsidRPr="00A01BAE">
        <w:t>Pre-requisite Unit</w:t>
      </w:r>
    </w:p>
    <w:p w:rsidR="00000000" w:rsidRPr="00A01BAE" w:rsidP="0076086D">
      <w:pPr>
        <w:pStyle w:val="BodyText"/>
      </w:pPr>
      <w:r w:rsidRPr="00A01BAE">
        <w:t>Nil</w:t>
      </w:r>
    </w:p>
    <w:p w:rsidR="00000000" w:rsidRPr="00A01BAE" w:rsidP="00A01BAE">
      <w:pPr>
        <w:pStyle w:val="Heading1"/>
      </w:pPr>
      <w:bookmarkStart w:id="4" w:name="O_922437"/>
      <w:bookmarkEnd w:id="4"/>
      <w:r w:rsidRPr="00A01BAE">
        <w:t>Competency Field</w:t>
      </w:r>
    </w:p>
    <w:p w:rsidR="00000000" w:rsidRPr="00A01BAE" w:rsidP="0076086D">
      <w:pPr>
        <w:pStyle w:val="BodyText"/>
      </w:pPr>
      <w:r w:rsidRPr="00A01BAE">
        <w:t>Monitoring</w:t>
      </w:r>
    </w:p>
    <w:p w:rsidR="00000000" w:rsidRPr="00A01BAE" w:rsidP="00A01BAE">
      <w:pPr>
        <w:pStyle w:val="Heading1"/>
      </w:pPr>
      <w:bookmarkStart w:id="5" w:name="O_922436"/>
      <w:bookmarkEnd w:id="5"/>
      <w:r w:rsidRPr="00A01BAE">
        <w:t>Unit Sector</w:t>
      </w:r>
    </w:p>
    <w:p w:rsidR="00000000" w:rsidRPr="00A01BAE" w:rsidP="0076086D">
      <w:pPr>
        <w:pStyle w:val="BodyText"/>
      </w:pPr>
      <w:r w:rsidRPr="00A01BAE">
        <w:t>Environmental</w:t>
      </w:r>
    </w:p>
    <w:p w:rsidR="00000000" w:rsidRPr="00A01BAE" w:rsidP="00A01BAE">
      <w:pPr>
        <w:pStyle w:val="Heading1"/>
      </w:pPr>
      <w:bookmarkStart w:id="6" w:name="O_922435"/>
      <w:bookmarkEnd w:id="6"/>
      <w:r w:rsidRPr="00A01BA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01BA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 xml:space="preserve">Performance criteria describe </w:t>
            </w:r>
            <w:r w:rsidRPr="00A01BAE">
              <w:t>the performance needed to demonstrate achievement of the element.</w:t>
            </w:r>
          </w:p>
        </w:tc>
      </w:tr>
      <w:tr w:rsidTr="00A01B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01BAE" w:rsidP="00A01BAE">
            <w:pPr>
              <w:pStyle w:val="BodyText"/>
            </w:pPr>
            <w:r w:rsidRPr="00A01BAE">
              <w:t>1</w:t>
            </w:r>
          </w:p>
        </w:tc>
        <w:tc>
          <w:tcPr>
            <w:tcW w:w="1962" w:type="dxa"/>
            <w:vMerge w:val="restart"/>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rPr>
                <w:rStyle w:val="SpecialBold"/>
              </w:rPr>
              <w:t>Clarify site monitoring requirements with supervisor</w:t>
            </w:r>
          </w:p>
        </w:tc>
        <w:tc>
          <w:tcPr>
            <w:tcW w:w="77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1.1</w:t>
            </w:r>
          </w:p>
        </w:tc>
        <w:tc>
          <w:tcPr>
            <w:tcW w:w="561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Examine available information about the site’s history, current activities/processes, previous odour assessments,</w:t>
            </w:r>
            <w:r w:rsidRPr="00A01BAE">
              <w:t xml:space="preserve"> topography, prevalent meteorological conditions and complaint records.</w:t>
            </w:r>
          </w:p>
        </w:tc>
      </w:tr>
      <w:tr w:rsidTr="00A01B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1.2</w:t>
            </w:r>
          </w:p>
        </w:tc>
        <w:tc>
          <w:tcPr>
            <w:tcW w:w="561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Visit the site with supervisor to clarify issues with the proponent and community representatives, as appropriate.</w:t>
            </w:r>
          </w:p>
        </w:tc>
      </w:tr>
      <w:tr w:rsidTr="00A01B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1.3</w:t>
            </w:r>
          </w:p>
        </w:tc>
        <w:tc>
          <w:tcPr>
            <w:tcW w:w="561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Collect and review information about site process operations and conditions.</w:t>
            </w:r>
          </w:p>
        </w:tc>
      </w:tr>
      <w:tr w:rsidTr="00A01B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1.4</w:t>
            </w:r>
          </w:p>
        </w:tc>
        <w:tc>
          <w:tcPr>
            <w:tcW w:w="561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Identify potential odour sources at the site and current controls.</w:t>
            </w:r>
          </w:p>
        </w:tc>
      </w:tr>
      <w:tr w:rsidTr="00A01B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1.5</w:t>
            </w:r>
          </w:p>
        </w:tc>
        <w:tc>
          <w:tcPr>
            <w:tcW w:w="561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Review relevant legislative, regulatory and licensing requirements or workplace procedures/test me</w:t>
            </w:r>
            <w:r w:rsidRPr="00A01BAE">
              <w:t>thods.</w:t>
            </w:r>
          </w:p>
        </w:tc>
      </w:tr>
      <w:tr w:rsidTr="00A01BA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01BAE">
            <w:pPr>
              <w:pStyle w:val="BodyText"/>
              <w:rPr>
                <w:lang w:val="en-NZ"/>
              </w:rPr>
            </w:pPr>
          </w:p>
        </w:tc>
      </w:tr>
      <w:tr w:rsidTr="00A01B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01BAE" w:rsidP="00A01BAE">
            <w:pPr>
              <w:pStyle w:val="BodyText"/>
            </w:pPr>
            <w:r w:rsidRPr="00A01BAE">
              <w:t>2</w:t>
            </w:r>
          </w:p>
        </w:tc>
        <w:tc>
          <w:tcPr>
            <w:tcW w:w="1962" w:type="dxa"/>
            <w:vMerge w:val="restart"/>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rPr>
                <w:rStyle w:val="SpecialBold"/>
              </w:rPr>
              <w:t>Prepare for source monitoring</w:t>
            </w:r>
          </w:p>
        </w:tc>
        <w:tc>
          <w:tcPr>
            <w:tcW w:w="77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2.1</w:t>
            </w:r>
          </w:p>
        </w:tc>
        <w:tc>
          <w:tcPr>
            <w:tcW w:w="561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Select, or design, appropriate sampling and monitoring strategies in consultation with supervisor.</w:t>
            </w:r>
          </w:p>
        </w:tc>
      </w:tr>
      <w:tr w:rsidTr="00A01B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2.2</w:t>
            </w:r>
          </w:p>
        </w:tc>
        <w:tc>
          <w:tcPr>
            <w:tcW w:w="561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Confirm details of relevant odour sampling/monitoring plans, need for site permits and access to the site.</w:t>
            </w:r>
          </w:p>
        </w:tc>
      </w:tr>
      <w:tr w:rsidTr="00A01B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2.3</w:t>
            </w:r>
          </w:p>
        </w:tc>
        <w:tc>
          <w:tcPr>
            <w:tcW w:w="561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Confirm data format and quality requirements.</w:t>
            </w:r>
          </w:p>
        </w:tc>
      </w:tr>
      <w:tr w:rsidTr="00A01B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2.4</w:t>
            </w:r>
          </w:p>
        </w:tc>
        <w:tc>
          <w:tcPr>
            <w:tcW w:w="561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Review relevant standards and/or specified workplace procedures/test methods.</w:t>
            </w:r>
          </w:p>
        </w:tc>
      </w:tr>
      <w:tr w:rsidTr="00A01B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2.5</w:t>
            </w:r>
          </w:p>
        </w:tc>
        <w:tc>
          <w:tcPr>
            <w:tcW w:w="561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Assemble required sampling and monitoring equipment and check that all reusable items are clean, fit for purpose and calibrated correctly.</w:t>
            </w:r>
          </w:p>
        </w:tc>
      </w:tr>
      <w:tr w:rsidTr="00A01B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2.6</w:t>
            </w:r>
          </w:p>
        </w:tc>
        <w:tc>
          <w:tcPr>
            <w:tcW w:w="561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Ensure that all required supplies and equipment are transported safely to and from the site.</w:t>
            </w:r>
          </w:p>
        </w:tc>
      </w:tr>
      <w:tr w:rsidTr="00A01BA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01BAE">
            <w:pPr>
              <w:pStyle w:val="BodyText"/>
              <w:rPr>
                <w:lang w:val="en-NZ"/>
              </w:rPr>
            </w:pPr>
          </w:p>
        </w:tc>
      </w:tr>
      <w:tr w:rsidTr="00A01B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01BAE" w:rsidP="00A01BAE">
            <w:pPr>
              <w:pStyle w:val="BodyText"/>
            </w:pPr>
            <w:r w:rsidRPr="00A01BAE">
              <w:t>3</w:t>
            </w:r>
          </w:p>
        </w:tc>
        <w:tc>
          <w:tcPr>
            <w:tcW w:w="1962" w:type="dxa"/>
            <w:vMerge w:val="restart"/>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rPr>
                <w:rStyle w:val="SpecialBold"/>
              </w:rPr>
              <w:t>Prepare standardised or in-house odour panellists</w:t>
            </w:r>
          </w:p>
        </w:tc>
        <w:tc>
          <w:tcPr>
            <w:tcW w:w="77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3.1</w:t>
            </w:r>
          </w:p>
        </w:tc>
        <w:tc>
          <w:tcPr>
            <w:tcW w:w="561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Confirm the specifications for panellists with supervisor and client, as necessary.</w:t>
            </w:r>
          </w:p>
        </w:tc>
      </w:tr>
      <w:tr w:rsidTr="00A01B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3.2</w:t>
            </w:r>
          </w:p>
        </w:tc>
        <w:tc>
          <w:tcPr>
            <w:tcW w:w="561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Conduct standardised selection to determine odour threshold and ongoing olfactometry performance of individuals</w:t>
            </w:r>
            <w:r w:rsidRPr="00A01BAE">
              <w:t>.</w:t>
            </w:r>
          </w:p>
        </w:tc>
      </w:tr>
      <w:tr w:rsidTr="00A01B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3.3</w:t>
            </w:r>
          </w:p>
        </w:tc>
        <w:tc>
          <w:tcPr>
            <w:tcW w:w="561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Conduct standardised or in-house selection to assess and compare sensitivity against internal criteria.</w:t>
            </w:r>
          </w:p>
        </w:tc>
      </w:tr>
      <w:tr w:rsidTr="00A01B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3.4</w:t>
            </w:r>
          </w:p>
        </w:tc>
        <w:tc>
          <w:tcPr>
            <w:tcW w:w="561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Select panellists in consultation with supervisor.</w:t>
            </w:r>
          </w:p>
        </w:tc>
      </w:tr>
      <w:tr w:rsidTr="00A01B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3.5</w:t>
            </w:r>
          </w:p>
        </w:tc>
        <w:tc>
          <w:tcPr>
            <w:tcW w:w="561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Train selected panellists in the use of objective odour observation techniques, odour descriptors, olfactometry procedures and test equipment.</w:t>
            </w:r>
          </w:p>
        </w:tc>
      </w:tr>
      <w:tr w:rsidTr="00A01B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3.6</w:t>
            </w:r>
          </w:p>
        </w:tc>
        <w:tc>
          <w:tcPr>
            <w:tcW w:w="561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Record the process and results used to establish and maintain a register of reliable panellists.</w:t>
            </w:r>
          </w:p>
        </w:tc>
      </w:tr>
      <w:tr w:rsidTr="00A01BA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01BAE">
            <w:pPr>
              <w:pStyle w:val="BodyText"/>
              <w:rPr>
                <w:lang w:val="en-NZ"/>
              </w:rPr>
            </w:pPr>
          </w:p>
        </w:tc>
      </w:tr>
      <w:tr w:rsidTr="00A01B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01BAE" w:rsidP="00A01BAE">
            <w:pPr>
              <w:pStyle w:val="BodyText"/>
            </w:pPr>
            <w:r w:rsidRPr="00A01BAE">
              <w:t>4</w:t>
            </w:r>
          </w:p>
        </w:tc>
        <w:tc>
          <w:tcPr>
            <w:tcW w:w="1962" w:type="dxa"/>
            <w:vMerge w:val="restart"/>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rPr>
                <w:rStyle w:val="SpecialBold"/>
              </w:rPr>
              <w:t>Collect and store odour samples for source monitoring</w:t>
            </w:r>
          </w:p>
        </w:tc>
        <w:tc>
          <w:tcPr>
            <w:tcW w:w="77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4.1</w:t>
            </w:r>
          </w:p>
        </w:tc>
        <w:tc>
          <w:tcPr>
            <w:tcW w:w="561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Check that process/meteorological conditions are consistent with sampling design conditions and report any deviations.</w:t>
            </w:r>
          </w:p>
        </w:tc>
      </w:tr>
      <w:tr w:rsidTr="00A01B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4.2</w:t>
            </w:r>
          </w:p>
        </w:tc>
        <w:tc>
          <w:tcPr>
            <w:tcW w:w="561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 xml:space="preserve">Set up sampling equipment and conduct pre-use checks to ensure reliable </w:t>
            </w:r>
            <w:r w:rsidRPr="00A01BAE">
              <w:t>operation.</w:t>
            </w:r>
          </w:p>
        </w:tc>
      </w:tr>
      <w:tr w:rsidTr="00A01B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4.3</w:t>
            </w:r>
          </w:p>
        </w:tc>
        <w:tc>
          <w:tcPr>
            <w:tcW w:w="561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Collect samples in accordance with standard methods or workplace procedures.</w:t>
            </w:r>
          </w:p>
        </w:tc>
      </w:tr>
      <w:tr w:rsidTr="00A01B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4.4</w:t>
            </w:r>
          </w:p>
        </w:tc>
        <w:tc>
          <w:tcPr>
            <w:tcW w:w="561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Store samples for subsequent analysis to ensure their ongoing integrity and traceability.</w:t>
            </w:r>
          </w:p>
        </w:tc>
      </w:tr>
      <w:tr w:rsidTr="00A01B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4.5</w:t>
            </w:r>
          </w:p>
        </w:tc>
        <w:tc>
          <w:tcPr>
            <w:tcW w:w="561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Identify and report any defects or abnormalities in samples.</w:t>
            </w:r>
          </w:p>
        </w:tc>
      </w:tr>
      <w:tr w:rsidTr="00A01B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4.6</w:t>
            </w:r>
          </w:p>
        </w:tc>
        <w:tc>
          <w:tcPr>
            <w:tcW w:w="561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Record all sample information in accordance with standard methods or workplace procedures.</w:t>
            </w:r>
          </w:p>
        </w:tc>
      </w:tr>
      <w:tr w:rsidTr="00A01BA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01BAE">
            <w:pPr>
              <w:pStyle w:val="BodyText"/>
              <w:rPr>
                <w:lang w:val="en-NZ"/>
              </w:rPr>
            </w:pPr>
          </w:p>
        </w:tc>
      </w:tr>
      <w:tr w:rsidTr="00A01B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01BAE" w:rsidP="00A01BAE">
            <w:pPr>
              <w:pStyle w:val="BodyText"/>
            </w:pPr>
            <w:r w:rsidRPr="00A01BAE">
              <w:t>5</w:t>
            </w:r>
          </w:p>
        </w:tc>
        <w:tc>
          <w:tcPr>
            <w:tcW w:w="1962" w:type="dxa"/>
            <w:vMerge w:val="restart"/>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rPr>
                <w:rStyle w:val="SpecialBold"/>
              </w:rPr>
              <w:t>Conduct laboratory olfactometry measurements</w:t>
            </w:r>
          </w:p>
        </w:tc>
        <w:tc>
          <w:tcPr>
            <w:tcW w:w="77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5.1</w:t>
            </w:r>
          </w:p>
        </w:tc>
        <w:tc>
          <w:tcPr>
            <w:tcW w:w="561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Set up dynamic olfactometer and related equipment and conduct pre-use checks to ensure reliable operation.</w:t>
            </w:r>
          </w:p>
        </w:tc>
      </w:tr>
      <w:tr w:rsidTr="00A01B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5.2</w:t>
            </w:r>
          </w:p>
        </w:tc>
        <w:tc>
          <w:tcPr>
            <w:tcW w:w="561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Ensure that panellists fully understand the test procedures.</w:t>
            </w:r>
          </w:p>
        </w:tc>
      </w:tr>
      <w:tr w:rsidTr="00A01B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5.3</w:t>
            </w:r>
          </w:p>
        </w:tc>
        <w:tc>
          <w:tcPr>
            <w:tcW w:w="561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Conduct tests in accordance with standard method.</w:t>
            </w:r>
          </w:p>
        </w:tc>
      </w:tr>
      <w:tr w:rsidTr="00A01B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5.4</w:t>
            </w:r>
          </w:p>
        </w:tc>
        <w:tc>
          <w:tcPr>
            <w:tcW w:w="561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Monitor panellist</w:t>
            </w:r>
            <w:r w:rsidRPr="00A01BAE">
              <w:t>’s performance for indications of odour fatigue, adaption of their senses to the surrounding ambient air and/or bias.</w:t>
            </w:r>
          </w:p>
        </w:tc>
      </w:tr>
      <w:tr w:rsidTr="00A01B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5.5</w:t>
            </w:r>
          </w:p>
        </w:tc>
        <w:tc>
          <w:tcPr>
            <w:tcW w:w="561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Analyse the conduct of the measurements and reliability of results before confirming data acceptability.</w:t>
            </w:r>
          </w:p>
        </w:tc>
      </w:tr>
      <w:tr w:rsidTr="00A01BA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01BAE">
            <w:pPr>
              <w:pStyle w:val="BodyText"/>
              <w:rPr>
                <w:lang w:val="en-NZ"/>
              </w:rPr>
            </w:pPr>
          </w:p>
        </w:tc>
      </w:tr>
      <w:tr w:rsidTr="00A01B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01BAE" w:rsidP="00A01BAE">
            <w:pPr>
              <w:pStyle w:val="BodyText"/>
            </w:pPr>
            <w:r w:rsidRPr="00A01BAE">
              <w:t>6</w:t>
            </w:r>
          </w:p>
        </w:tc>
        <w:tc>
          <w:tcPr>
            <w:tcW w:w="1962" w:type="dxa"/>
            <w:vMerge w:val="restart"/>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6.1</w:t>
            </w:r>
          </w:p>
        </w:tc>
        <w:tc>
          <w:tcPr>
            <w:tcW w:w="561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Ensure safety through the use of specified safety equipment, safe work procedures and personal protective clothing.</w:t>
            </w:r>
          </w:p>
        </w:tc>
      </w:tr>
      <w:tr w:rsidTr="00A01B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6.2</w:t>
            </w:r>
          </w:p>
        </w:tc>
        <w:tc>
          <w:tcPr>
            <w:tcW w:w="561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Handle all samples and equipment in accordance with workplace safety procedures.</w:t>
            </w:r>
          </w:p>
        </w:tc>
      </w:tr>
      <w:tr w:rsidTr="00A01B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6.3</w:t>
            </w:r>
          </w:p>
        </w:tc>
        <w:tc>
          <w:tcPr>
            <w:tcW w:w="561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Minimise generation of waste and environmental impacts.</w:t>
            </w:r>
          </w:p>
        </w:tc>
      </w:tr>
      <w:tr w:rsidTr="00A01B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6.4</w:t>
            </w:r>
          </w:p>
        </w:tc>
        <w:tc>
          <w:tcPr>
            <w:tcW w:w="561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Collect and dispose of all wastes safely.</w:t>
            </w:r>
          </w:p>
        </w:tc>
      </w:tr>
      <w:tr w:rsidTr="00A01B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6.5</w:t>
            </w:r>
          </w:p>
        </w:tc>
        <w:tc>
          <w:tcPr>
            <w:tcW w:w="561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Report hazards and incidents to designated personnel using workplace procedures.</w:t>
            </w:r>
          </w:p>
        </w:tc>
      </w:tr>
      <w:tr w:rsidTr="00A01BA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01BAE">
            <w:pPr>
              <w:pStyle w:val="BodyText"/>
              <w:rPr>
                <w:lang w:val="en-NZ"/>
              </w:rPr>
            </w:pPr>
          </w:p>
        </w:tc>
      </w:tr>
      <w:tr w:rsidTr="00A01B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01BAE" w:rsidP="00A01BAE">
            <w:pPr>
              <w:pStyle w:val="BodyText"/>
            </w:pPr>
            <w:r w:rsidRPr="00A01BAE">
              <w:t>7</w:t>
            </w:r>
          </w:p>
        </w:tc>
        <w:tc>
          <w:tcPr>
            <w:tcW w:w="1962" w:type="dxa"/>
            <w:vMerge w:val="restart"/>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rPr>
                <w:rStyle w:val="SpecialBold"/>
              </w:rPr>
              <w:t>Record data and report results</w:t>
            </w:r>
          </w:p>
        </w:tc>
        <w:tc>
          <w:tcPr>
            <w:tcW w:w="77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7.1</w:t>
            </w:r>
          </w:p>
        </w:tc>
        <w:tc>
          <w:tcPr>
            <w:tcW w:w="561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Record details of the testing process and data in accordance with standard method or workplace procedures.</w:t>
            </w:r>
          </w:p>
        </w:tc>
      </w:tr>
      <w:tr w:rsidTr="00A01B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7.2</w:t>
            </w:r>
          </w:p>
        </w:tc>
        <w:tc>
          <w:tcPr>
            <w:tcW w:w="561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Process data and report results in accordance with standard method or workplace procedures.</w:t>
            </w:r>
          </w:p>
        </w:tc>
      </w:tr>
      <w:tr w:rsidTr="00A01B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7.3</w:t>
            </w:r>
          </w:p>
        </w:tc>
        <w:tc>
          <w:tcPr>
            <w:tcW w:w="561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Record approved data in accordance with specified format and quality requirements.</w:t>
            </w:r>
          </w:p>
        </w:tc>
      </w:tr>
      <w:tr w:rsidTr="00A01B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7.4</w:t>
            </w:r>
          </w:p>
        </w:tc>
        <w:tc>
          <w:tcPr>
            <w:tcW w:w="5610" w:type="dxa"/>
            <w:tcBorders>
              <w:top w:val="nil"/>
              <w:left w:val="nil"/>
              <w:bottom w:val="nil"/>
              <w:right w:val="nil"/>
            </w:tcBorders>
            <w:tcMar>
              <w:top w:w="0" w:type="dxa"/>
              <w:left w:w="62" w:type="dxa"/>
              <w:bottom w:w="0" w:type="dxa"/>
              <w:right w:w="62" w:type="dxa"/>
            </w:tcMar>
          </w:tcPr>
          <w:p w:rsidR="00000000" w:rsidRPr="00A01BAE" w:rsidP="00A01BAE">
            <w:pPr>
              <w:pStyle w:val="BodyText"/>
            </w:pPr>
            <w:r w:rsidRPr="00A01BAE">
              <w:t>Maintain confidentiality and security of workplace information and data.</w:t>
            </w:r>
          </w:p>
        </w:tc>
      </w:tr>
    </w:tbl>
    <w:p w:rsidR="00000000" w:rsidRPr="00A01BAE" w:rsidP="00A01BAE">
      <w:pPr>
        <w:pStyle w:val="BodyText"/>
      </w:pPr>
    </w:p>
    <w:p w:rsidR="00000000" w:rsidRPr="00A01BAE" w:rsidP="00A01BAE">
      <w:pPr>
        <w:pStyle w:val="AllowPageBreak"/>
      </w:pPr>
    </w:p>
    <w:p w:rsidR="00000000" w:rsidRPr="00A01BAE" w:rsidP="00A01BAE">
      <w:pPr>
        <w:pStyle w:val="Heading1"/>
      </w:pPr>
      <w:bookmarkStart w:id="7" w:name="O_922434"/>
      <w:bookmarkEnd w:id="7"/>
      <w:r w:rsidRPr="00A01BAE">
        <w:t>Foundation Skills</w:t>
      </w:r>
    </w:p>
    <w:p w:rsidR="00000000" w:rsidRPr="00A01BAE" w:rsidP="0076086D">
      <w:pPr>
        <w:pStyle w:val="BodyText"/>
      </w:pPr>
      <w:r w:rsidRPr="00A01BAE">
        <w:t xml:space="preserve">This section describes those required skills (language, </w:t>
      </w:r>
      <w:r w:rsidRPr="00A01BAE">
        <w:t>literacy and numeracy) that are essential to performance.</w:t>
      </w:r>
    </w:p>
    <w:p w:rsidR="00000000" w:rsidRPr="00A01BAE" w:rsidP="0076086D">
      <w:pPr>
        <w:pStyle w:val="BodyText"/>
      </w:pPr>
      <w:r w:rsidRPr="00A01BAE">
        <w:t>Foundation skills essential to performance are explicit in the performance criteria of this unit of competency.</w:t>
      </w:r>
    </w:p>
    <w:p w:rsidR="00000000" w:rsidRPr="00A01BAE" w:rsidP="00A01BAE">
      <w:pPr>
        <w:pStyle w:val="Heading1"/>
      </w:pPr>
      <w:bookmarkStart w:id="8" w:name="O_922433"/>
      <w:bookmarkEnd w:id="8"/>
      <w:r w:rsidRPr="00A01BAE">
        <w:t>Range of Conditions</w:t>
      </w:r>
    </w:p>
    <w:tbl>
      <w:tblPr>
        <w:tblW w:w="0" w:type="auto"/>
        <w:tblLayout w:type="fixed"/>
        <w:tblCellMar>
          <w:left w:w="62" w:type="dxa"/>
          <w:right w:w="62" w:type="dxa"/>
        </w:tblCellMar>
        <w:tblLook w:val="0000"/>
      </w:tblPr>
      <w:tblGrid>
        <w:gridCol w:w="2295"/>
        <w:gridCol w:w="6777"/>
      </w:tblGrid>
      <w:tr w:rsidTr="00A01BA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t>This field allows for different work environment</w:t>
            </w:r>
            <w:r w:rsidRPr="00A01BAE">
              <w:t>s and conditions that may affect performance. Essential operating conditions that may be present (depending on the work situation, needs of the candidate, accessibility of the item, and local industry and regional contexts) are included.</w:t>
            </w:r>
          </w:p>
        </w:tc>
      </w:tr>
      <w:tr w:rsidTr="00A01BAE">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rPr>
                <w:rStyle w:val="SpecialBold"/>
              </w:rPr>
              <w:t>Legislation, regulations, standards, codes, workplace procedures and requirements include the latest version of one or more of:</w:t>
            </w:r>
          </w:p>
        </w:tc>
        <w:tc>
          <w:tcPr>
            <w:tcW w:w="6777" w:type="dxa"/>
            <w:tcBorders>
              <w:top w:val="nil"/>
              <w:left w:val="nil"/>
              <w:bottom w:val="nil"/>
              <w:right w:val="nil"/>
            </w:tcBorders>
            <w:tcMar>
              <w:top w:w="0" w:type="dxa"/>
              <w:left w:w="62" w:type="dxa"/>
              <w:bottom w:w="0" w:type="dxa"/>
              <w:right w:w="62" w:type="dxa"/>
            </w:tcMar>
          </w:tcPr>
          <w:p w:rsidR="00000000" w:rsidRPr="00A01BAE" w:rsidP="00A01BAE">
            <w:pPr>
              <w:pStyle w:val="ListBullet"/>
            </w:pPr>
            <w:r w:rsidRPr="00A01BAE">
              <w:t>federal legislation, such as the Environment Protection and Biodiversity Conservation Act, and National Environmental Protectio</w:t>
            </w:r>
            <w:r w:rsidRPr="00A01BAE">
              <w:t>n Measures</w:t>
            </w:r>
          </w:p>
          <w:p w:rsidR="00000000" w:rsidRPr="00A01BAE" w:rsidP="00A01BAE">
            <w:pPr>
              <w:pStyle w:val="ListBullet"/>
            </w:pPr>
            <w:r w:rsidRPr="00A01BAE">
              <w:t>state/territory government legislation and local government by-laws, policies, regulations and plans dealing with land use, acquisition, planning and protection; environmental protection, pollution and contaminated sites</w:t>
            </w:r>
          </w:p>
          <w:p w:rsidR="00000000" w:rsidRPr="00A01BAE" w:rsidP="00A01BAE">
            <w:pPr>
              <w:pStyle w:val="ListBullet"/>
            </w:pPr>
            <w:r w:rsidRPr="00A01BAE">
              <w:t>legislation, standards a</w:t>
            </w:r>
            <w:r w:rsidRPr="00A01BAE">
              <w:t>nd codes of practice for work health and safety (WHS)</w:t>
            </w:r>
          </w:p>
          <w:p w:rsidR="00000000" w:rsidRPr="00A01BAE" w:rsidP="00A01BAE">
            <w:pPr>
              <w:pStyle w:val="ListBullet"/>
            </w:pPr>
            <w:r w:rsidRPr="00A01BAE">
              <w:t>Australian and international standards covering olfactometry and stationary source emissions (e.g. AS/NZS 4323 Stationary source emissions series); and occupational personal protection (e.g. HB 9-1994 O</w:t>
            </w:r>
            <w:r w:rsidRPr="00A01BAE">
              <w:t>ccupational personal protection)</w:t>
            </w:r>
          </w:p>
          <w:p w:rsidR="00000000" w:rsidRPr="00A01BAE" w:rsidP="00A01BAE">
            <w:pPr>
              <w:pStyle w:val="ListBullet"/>
            </w:pPr>
            <w:r w:rsidRPr="00A01BAE">
              <w:t>registration/licensing and/or accreditation requirements</w:t>
            </w:r>
          </w:p>
          <w:p w:rsidR="00000000" w:rsidRPr="00A01BAE" w:rsidP="00A01BAE">
            <w:pPr>
              <w:pStyle w:val="ListBullet"/>
            </w:pPr>
            <w:r w:rsidRPr="00A01BAE">
              <w:t>site plans, maps and specifications, client and/or regulatory/certifying body requirements</w:t>
            </w:r>
          </w:p>
          <w:p w:rsidR="00000000" w:rsidRPr="00A01BAE" w:rsidP="00A01BAE">
            <w:pPr>
              <w:pStyle w:val="ListBullet"/>
            </w:pPr>
            <w:r w:rsidRPr="00A01BAE">
              <w:t>workplace procedures for sampling, monitoring, checking calibration of dyna</w:t>
            </w:r>
            <w:r w:rsidRPr="00A01BAE">
              <w:t>mic olfactometers</w:t>
            </w:r>
          </w:p>
          <w:p w:rsidR="00000000" w:rsidRPr="00A01BAE" w:rsidP="00A01BAE">
            <w:pPr>
              <w:pStyle w:val="ListBullet"/>
            </w:pPr>
            <w:r w:rsidRPr="00A01BAE">
              <w:t xml:space="preserve">workplace documents, such as standard operating procedures (SOPs); work schedules; recording and reporting procedures; equipment manuals and warranties; supplier catalogue and handbooks; field notebooks or log books; emergency and safety </w:t>
            </w:r>
            <w:r w:rsidRPr="00A01BAE">
              <w:t>procedures; safety data sheets (SDS); waste minimisation, containment, processing and safe disposal procedures.</w:t>
            </w:r>
          </w:p>
          <w:p w:rsidR="00000000" w:rsidP="00A01BAE">
            <w:pPr>
              <w:pStyle w:val="BodyText"/>
              <w:rPr>
                <w:lang w:val="en-NZ"/>
              </w:rPr>
            </w:pPr>
          </w:p>
        </w:tc>
      </w:tr>
      <w:tr w:rsidTr="00A01BAE">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rPr>
                <w:rStyle w:val="SpecialBold"/>
              </w:rPr>
              <w:t>Odour sources include one or more of:</w:t>
            </w:r>
          </w:p>
        </w:tc>
        <w:tc>
          <w:tcPr>
            <w:tcW w:w="6777" w:type="dxa"/>
            <w:tcBorders>
              <w:top w:val="nil"/>
              <w:left w:val="nil"/>
              <w:bottom w:val="nil"/>
              <w:right w:val="nil"/>
            </w:tcBorders>
            <w:tcMar>
              <w:top w:w="0" w:type="dxa"/>
              <w:left w:w="62" w:type="dxa"/>
              <w:bottom w:w="0" w:type="dxa"/>
              <w:right w:w="62" w:type="dxa"/>
            </w:tcMar>
          </w:tcPr>
          <w:p w:rsidR="00000000" w:rsidRPr="00A01BAE" w:rsidP="00A01BAE">
            <w:pPr>
              <w:pStyle w:val="ListBullet"/>
            </w:pPr>
            <w:r w:rsidRPr="00A01BAE">
              <w:t>wastewater treatment plants and sludge ponds</w:t>
            </w:r>
          </w:p>
          <w:p w:rsidR="00000000" w:rsidRPr="00A01BAE" w:rsidP="00A01BAE">
            <w:pPr>
              <w:pStyle w:val="ListBullet"/>
            </w:pPr>
            <w:r w:rsidRPr="00A01BAE">
              <w:t>solid waste recycling plants</w:t>
            </w:r>
          </w:p>
          <w:p w:rsidR="00000000" w:rsidRPr="00A01BAE" w:rsidP="00A01BAE">
            <w:pPr>
              <w:pStyle w:val="ListBullet"/>
            </w:pPr>
            <w:r w:rsidRPr="00A01BAE">
              <w:t>landfill and landfill gas treatment plants</w:t>
            </w:r>
          </w:p>
          <w:p w:rsidR="00000000" w:rsidRPr="00A01BAE" w:rsidP="00A01BAE">
            <w:pPr>
              <w:pStyle w:val="ListBullet"/>
            </w:pPr>
            <w:r w:rsidRPr="00A01BAE">
              <w:t>chemical plants</w:t>
            </w:r>
          </w:p>
          <w:p w:rsidR="00000000" w:rsidRPr="00A01BAE" w:rsidP="00A01BAE">
            <w:pPr>
              <w:pStyle w:val="ListBullet"/>
            </w:pPr>
            <w:r w:rsidRPr="00A01BAE">
              <w:t>composting operations, food and by-product processing, such as rendering and tanning plants</w:t>
            </w:r>
          </w:p>
          <w:p w:rsidR="00000000" w:rsidRPr="00A01BAE" w:rsidP="00A01BAE">
            <w:pPr>
              <w:pStyle w:val="ListBullet"/>
            </w:pPr>
            <w:r w:rsidRPr="00A01BAE">
              <w:t>agriculture/livestock facilities, such as poultry and pig farming, cattle feedlots and mushroom farms</w:t>
            </w:r>
          </w:p>
          <w:p w:rsidR="00000000" w:rsidRPr="00A01BAE" w:rsidP="00A01BAE">
            <w:pPr>
              <w:pStyle w:val="BodyText"/>
            </w:pPr>
          </w:p>
          <w:p w:rsidR="00000000" w:rsidRPr="00A01BAE" w:rsidP="00A01BAE">
            <w:pPr>
              <w:pStyle w:val="BodyText"/>
            </w:pPr>
            <w:r w:rsidRPr="00A01BAE">
              <w:t>Od</w:t>
            </w:r>
            <w:r w:rsidRPr="00A01BAE">
              <w:t>our source geometries include point, area, volume and fugitive sources.</w:t>
            </w:r>
          </w:p>
          <w:p w:rsidR="00000000" w:rsidP="00A01BAE">
            <w:pPr>
              <w:pStyle w:val="BodyText"/>
              <w:rPr>
                <w:lang w:val="en-NZ"/>
              </w:rPr>
            </w:pPr>
          </w:p>
        </w:tc>
      </w:tr>
      <w:tr w:rsidTr="00A01BAE">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rPr>
                <w:rStyle w:val="SpecialBold"/>
              </w:rPr>
              <w:t>Site information includes one or more of:</w:t>
            </w:r>
          </w:p>
        </w:tc>
        <w:tc>
          <w:tcPr>
            <w:tcW w:w="6777" w:type="dxa"/>
            <w:tcBorders>
              <w:top w:val="nil"/>
              <w:left w:val="nil"/>
              <w:bottom w:val="nil"/>
              <w:right w:val="nil"/>
            </w:tcBorders>
            <w:tcMar>
              <w:top w:w="0" w:type="dxa"/>
              <w:left w:w="62" w:type="dxa"/>
              <w:bottom w:w="0" w:type="dxa"/>
              <w:right w:w="62" w:type="dxa"/>
            </w:tcMar>
          </w:tcPr>
          <w:p w:rsidR="00000000" w:rsidRPr="00A01BAE" w:rsidP="00A01BAE">
            <w:pPr>
              <w:pStyle w:val="ListBullet"/>
            </w:pPr>
            <w:r w:rsidRPr="00A01BAE">
              <w:t>location of site and nearby buildings, topography and meteorological records</w:t>
            </w:r>
          </w:p>
          <w:p w:rsidR="00000000" w:rsidRPr="00A01BAE" w:rsidP="00A01BAE">
            <w:pPr>
              <w:pStyle w:val="ListBullet"/>
            </w:pPr>
            <w:r w:rsidRPr="00A01BAE">
              <w:t xml:space="preserve">complaints, and previous odour assessments at site and nearby </w:t>
            </w:r>
            <w:r w:rsidRPr="00A01BAE">
              <w:t>locations</w:t>
            </w:r>
          </w:p>
          <w:p w:rsidR="00000000" w:rsidRPr="00A01BAE" w:rsidP="00A01BAE">
            <w:pPr>
              <w:pStyle w:val="ListBullet"/>
            </w:pPr>
            <w:r w:rsidRPr="00A01BAE">
              <w:t>other industrial activities or potential odour sources in the surrounding area</w:t>
            </w:r>
          </w:p>
          <w:p w:rsidR="00000000" w:rsidRPr="00A01BAE" w:rsidP="00A01BAE">
            <w:pPr>
              <w:pStyle w:val="ListBullet"/>
            </w:pPr>
            <w:r w:rsidRPr="00A01BAE">
              <w:t>industrial process inputs/outputs, flow diagram and process flowchart</w:t>
            </w:r>
          </w:p>
          <w:p w:rsidR="00000000" w:rsidRPr="00A01BAE" w:rsidP="00A01BAE">
            <w:pPr>
              <w:pStyle w:val="ListBullet"/>
            </w:pPr>
            <w:r w:rsidRPr="00A01BAE">
              <w:t xml:space="preserve">unit operations and typical variability, nominal and upset conditions </w:t>
            </w:r>
          </w:p>
          <w:p w:rsidR="00000000" w:rsidRPr="00A01BAE" w:rsidP="00A01BAE">
            <w:pPr>
              <w:pStyle w:val="ListBullet"/>
            </w:pPr>
            <w:r w:rsidRPr="00A01BAE">
              <w:t>pollution control equipment and techniques for industrial processes</w:t>
            </w:r>
          </w:p>
          <w:p w:rsidR="00000000" w:rsidRPr="00A01BAE" w:rsidP="00A01BAE">
            <w:pPr>
              <w:pStyle w:val="ListBullet"/>
            </w:pPr>
            <w:r w:rsidRPr="00A01BAE">
              <w:t xml:space="preserve">air emission control systems, such as scrubbers, bag filters, stacks and </w:t>
            </w:r>
            <w:r w:rsidRPr="00A01BAE">
              <w:t>bio filters</w:t>
            </w:r>
          </w:p>
          <w:p w:rsidR="00000000" w:rsidRPr="00A01BAE" w:rsidP="00A01BAE">
            <w:pPr>
              <w:pStyle w:val="ListBullet"/>
            </w:pPr>
            <w:r w:rsidRPr="00A01BAE">
              <w:t>forced or natural ventilation within odorous buildings</w:t>
            </w:r>
          </w:p>
          <w:p w:rsidR="00000000" w:rsidRPr="00A01BAE" w:rsidP="00A01BAE">
            <w:pPr>
              <w:pStyle w:val="ListBullet"/>
            </w:pPr>
            <w:r w:rsidRPr="00A01BAE">
              <w:t>parameters of emission sources, such as location</w:t>
            </w:r>
            <w:r w:rsidRPr="00A01BAE">
              <w:t>, geometry and release parameters for processes</w:t>
            </w:r>
          </w:p>
          <w:p w:rsidR="00000000" w:rsidRPr="00A01BAE" w:rsidP="00A01BAE">
            <w:pPr>
              <w:pStyle w:val="ListBullet"/>
            </w:pPr>
            <w:r w:rsidRPr="00A01BAE">
              <w:t>operational conditions and period of operation</w:t>
            </w:r>
          </w:p>
          <w:p w:rsidR="00000000" w:rsidRPr="00A01BAE" w:rsidP="00A01BAE">
            <w:pPr>
              <w:pStyle w:val="ListBullet"/>
            </w:pPr>
            <w:r w:rsidRPr="00A01BAE">
              <w:t>batch or continuous operation for units upstream from the emission source</w:t>
            </w:r>
          </w:p>
          <w:p w:rsidR="00000000" w:rsidRPr="00A01BAE" w:rsidP="00A01BAE">
            <w:pPr>
              <w:pStyle w:val="ListBullet"/>
            </w:pPr>
            <w:r w:rsidRPr="00A01BAE">
              <w:t>predictable variations in process conditions, production rates and weather interaction.</w:t>
            </w:r>
          </w:p>
          <w:p w:rsidR="00000000" w:rsidP="00A01BAE">
            <w:pPr>
              <w:pStyle w:val="BodyText"/>
              <w:rPr>
                <w:lang w:val="en-NZ"/>
              </w:rPr>
            </w:pPr>
          </w:p>
        </w:tc>
      </w:tr>
      <w:tr w:rsidTr="00A01BAE">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rPr>
                <w:rStyle w:val="SpecialBold"/>
              </w:rPr>
              <w:t>Complaint records include one or more of:</w:t>
            </w:r>
          </w:p>
        </w:tc>
        <w:tc>
          <w:tcPr>
            <w:tcW w:w="6777" w:type="dxa"/>
            <w:tcBorders>
              <w:top w:val="nil"/>
              <w:left w:val="nil"/>
              <w:bottom w:val="nil"/>
              <w:right w:val="nil"/>
            </w:tcBorders>
            <w:tcMar>
              <w:top w:w="0" w:type="dxa"/>
              <w:left w:w="62" w:type="dxa"/>
              <w:bottom w:w="0" w:type="dxa"/>
              <w:right w:w="62" w:type="dxa"/>
            </w:tcMar>
          </w:tcPr>
          <w:p w:rsidR="00000000" w:rsidRPr="00A01BAE" w:rsidP="00A01BAE">
            <w:pPr>
              <w:pStyle w:val="ListBullet"/>
            </w:pPr>
            <w:r w:rsidRPr="00A01BAE">
              <w:t>date and time of the complaint, and complainant details</w:t>
            </w:r>
          </w:p>
          <w:p w:rsidR="00000000" w:rsidRPr="00A01BAE" w:rsidP="00A01BAE">
            <w:pPr>
              <w:pStyle w:val="ListBullet"/>
            </w:pPr>
            <w:r w:rsidRPr="00A01BAE">
              <w:t>odour characteristic and weather conditions</w:t>
            </w:r>
          </w:p>
          <w:p w:rsidR="00000000" w:rsidRPr="00A01BAE" w:rsidP="00A01BAE">
            <w:pPr>
              <w:pStyle w:val="ListBullet"/>
            </w:pPr>
            <w:r w:rsidRPr="00A01BAE">
              <w:t>actions undertaken to verify the complaint</w:t>
            </w:r>
          </w:p>
          <w:p w:rsidR="00000000" w:rsidRPr="00A01BAE" w:rsidP="00A01BAE">
            <w:pPr>
              <w:pStyle w:val="ListBullet"/>
            </w:pPr>
            <w:r w:rsidRPr="00A01BAE">
              <w:t>actions undertaken to fix the issue</w:t>
            </w:r>
          </w:p>
          <w:p w:rsidR="00000000" w:rsidRPr="00A01BAE" w:rsidP="00A01BAE">
            <w:pPr>
              <w:pStyle w:val="ListBullet"/>
            </w:pPr>
            <w:r w:rsidRPr="00A01BAE">
              <w:t xml:space="preserve">back communication/information </w:t>
            </w:r>
            <w:r w:rsidRPr="00A01BAE">
              <w:t>to complainant.</w:t>
            </w:r>
          </w:p>
          <w:p w:rsidR="00000000" w:rsidP="00A01BAE">
            <w:pPr>
              <w:pStyle w:val="BodyText"/>
              <w:rPr>
                <w:lang w:val="en-NZ"/>
              </w:rPr>
            </w:pPr>
          </w:p>
        </w:tc>
      </w:tr>
      <w:tr w:rsidTr="00A01BAE">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rPr>
                <w:rStyle w:val="SpecialBold"/>
              </w:rPr>
              <w:t>Odour sampling/monitoring plans include one or more of:</w:t>
            </w:r>
          </w:p>
        </w:tc>
        <w:tc>
          <w:tcPr>
            <w:tcW w:w="6777" w:type="dxa"/>
            <w:tcBorders>
              <w:top w:val="nil"/>
              <w:left w:val="nil"/>
              <w:bottom w:val="nil"/>
              <w:right w:val="nil"/>
            </w:tcBorders>
            <w:tcMar>
              <w:top w:w="0" w:type="dxa"/>
              <w:left w:w="62" w:type="dxa"/>
              <w:bottom w:w="0" w:type="dxa"/>
              <w:right w:w="62" w:type="dxa"/>
            </w:tcMar>
          </w:tcPr>
          <w:p w:rsidR="00000000" w:rsidRPr="00A01BAE" w:rsidP="00A01BAE">
            <w:pPr>
              <w:pStyle w:val="ListBullet"/>
            </w:pPr>
            <w:r w:rsidRPr="00A01BAE">
              <w:t>monitoring protocol with details of purpose, duration, scope, available resources, detailed procedures and data quality requirements</w:t>
            </w:r>
          </w:p>
          <w:p w:rsidR="00000000" w:rsidRPr="00A01BAE" w:rsidP="00A01BAE">
            <w:pPr>
              <w:pStyle w:val="ListBullet"/>
            </w:pPr>
            <w:r w:rsidRPr="00A01BAE">
              <w:t>site map showing key community features, plant boundaries, possible/confirmed odour sources and topography</w:t>
            </w:r>
          </w:p>
          <w:p w:rsidR="00000000" w:rsidRPr="00A01BAE" w:rsidP="00A01BAE">
            <w:pPr>
              <w:pStyle w:val="ListBullet"/>
            </w:pPr>
            <w:r w:rsidRPr="00A01BAE">
              <w:t>monitoring at the source with sampling locations, sampling conditions (process and meteorology), type of sampling, coding and numbers of samples</w:t>
            </w:r>
          </w:p>
          <w:p w:rsidR="00000000" w:rsidRPr="00A01BAE" w:rsidP="00A01BAE">
            <w:pPr>
              <w:pStyle w:val="ListBullet"/>
            </w:pPr>
            <w:r w:rsidRPr="00A01BAE">
              <w:t>data</w:t>
            </w:r>
            <w:r w:rsidRPr="00A01BAE">
              <w:t xml:space="preserve"> collection forms (e.g. source location, geometry, operational conditions, sampling strategy and design deviations).</w:t>
            </w:r>
          </w:p>
          <w:p w:rsidR="00000000" w:rsidP="00A01BAE">
            <w:pPr>
              <w:pStyle w:val="BodyText"/>
              <w:rPr>
                <w:lang w:val="en-NZ"/>
              </w:rPr>
            </w:pPr>
          </w:p>
        </w:tc>
      </w:tr>
      <w:tr w:rsidTr="00A01BAE">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rPr>
                <w:rStyle w:val="SpecialBold"/>
              </w:rPr>
              <w:t>Odour sampling and laboratory monitoring equipment include one or more of:</w:t>
            </w:r>
          </w:p>
        </w:tc>
        <w:tc>
          <w:tcPr>
            <w:tcW w:w="6777" w:type="dxa"/>
            <w:tcBorders>
              <w:top w:val="nil"/>
              <w:left w:val="nil"/>
              <w:bottom w:val="nil"/>
              <w:right w:val="nil"/>
            </w:tcBorders>
            <w:tcMar>
              <w:top w:w="0" w:type="dxa"/>
              <w:left w:w="62" w:type="dxa"/>
              <w:bottom w:w="0" w:type="dxa"/>
              <w:right w:w="62" w:type="dxa"/>
            </w:tcMar>
          </w:tcPr>
          <w:p w:rsidR="00000000" w:rsidRPr="00A01BAE" w:rsidP="00A01BAE">
            <w:pPr>
              <w:pStyle w:val="ListBullet"/>
            </w:pPr>
            <w:r w:rsidRPr="00A01BAE">
              <w:t>sampling bags, such as Teflon, Tedlar and Nalophan</w:t>
            </w:r>
          </w:p>
          <w:p w:rsidR="00000000" w:rsidRPr="00A01BAE" w:rsidP="00A01BAE">
            <w:pPr>
              <w:pStyle w:val="ListBullet"/>
            </w:pPr>
            <w:r w:rsidRPr="00A01BAE">
              <w:t>portable w</w:t>
            </w:r>
            <w:r w:rsidRPr="00A01BAE">
              <w:t>ind tunnel sampling systems</w:t>
            </w:r>
          </w:p>
          <w:p w:rsidR="00000000" w:rsidRPr="00A01BAE" w:rsidP="00A01BAE">
            <w:pPr>
              <w:pStyle w:val="ListBullet"/>
            </w:pPr>
            <w:r w:rsidRPr="00A01BAE">
              <w:t>fluxhood/fluxchamber/isolation chamber sampling systems</w:t>
            </w:r>
          </w:p>
          <w:p w:rsidR="00000000" w:rsidRPr="00A01BAE" w:rsidP="00A01BAE">
            <w:pPr>
              <w:pStyle w:val="ListBullet"/>
            </w:pPr>
            <w:r w:rsidRPr="00A01BAE">
              <w:t>sorbent sampling tubes and stainless steel canisters for collecting volatile organic compounds (VOCs)</w:t>
            </w:r>
          </w:p>
          <w:p w:rsidR="00000000" w:rsidRPr="00A01BAE" w:rsidP="00A01BAE">
            <w:pPr>
              <w:pStyle w:val="ListBullet"/>
            </w:pPr>
            <w:r w:rsidRPr="00A01BAE">
              <w:t>tubing, pumps, carbon filters and diluter</w:t>
            </w:r>
          </w:p>
          <w:p w:rsidR="00000000" w:rsidRPr="00A01BAE" w:rsidP="00A01BAE">
            <w:pPr>
              <w:pStyle w:val="ListBullet"/>
            </w:pPr>
            <w:r w:rsidRPr="00A01BAE">
              <w:t>sweep gases for sample colle</w:t>
            </w:r>
            <w:r w:rsidRPr="00A01BAE">
              <w:t>ction, such as nitrogen</w:t>
            </w:r>
          </w:p>
          <w:p w:rsidR="00000000" w:rsidRPr="00A01BAE" w:rsidP="00A01BAE">
            <w:pPr>
              <w:pStyle w:val="ListBullet"/>
            </w:pPr>
            <w:r w:rsidRPr="00A01BAE">
              <w:t>tracer gas for calibration, such as carbon monoxide (CO)</w:t>
            </w:r>
          </w:p>
          <w:p w:rsidR="00000000" w:rsidRPr="00A01BAE" w:rsidP="00A01BAE">
            <w:pPr>
              <w:pStyle w:val="ListBullet"/>
            </w:pPr>
            <w:r w:rsidRPr="00A01BAE">
              <w:t>reference material, such as 1-butanol</w:t>
            </w:r>
          </w:p>
          <w:p w:rsidR="00000000" w:rsidRPr="00A01BAE" w:rsidP="00A01BAE">
            <w:pPr>
              <w:pStyle w:val="ListBullet"/>
            </w:pPr>
            <w:r w:rsidRPr="00A01BAE">
              <w:t>dynamic olfactometers for laboratory use.</w:t>
            </w:r>
          </w:p>
          <w:p w:rsidR="00000000" w:rsidP="00A01BAE">
            <w:pPr>
              <w:pStyle w:val="BodyText"/>
              <w:rPr>
                <w:lang w:val="en-NZ"/>
              </w:rPr>
            </w:pPr>
          </w:p>
        </w:tc>
      </w:tr>
      <w:tr w:rsidTr="00A01BAE">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rPr>
                <w:rStyle w:val="SpecialBold"/>
              </w:rPr>
              <w:t>Pre-use checks of sampling and monitoring equipment include one or more of:</w:t>
            </w:r>
          </w:p>
        </w:tc>
        <w:tc>
          <w:tcPr>
            <w:tcW w:w="6777" w:type="dxa"/>
            <w:tcBorders>
              <w:top w:val="nil"/>
              <w:left w:val="nil"/>
              <w:bottom w:val="nil"/>
              <w:right w:val="nil"/>
            </w:tcBorders>
            <w:tcMar>
              <w:top w:w="0" w:type="dxa"/>
              <w:left w:w="62" w:type="dxa"/>
              <w:bottom w:w="0" w:type="dxa"/>
              <w:right w:w="62" w:type="dxa"/>
            </w:tcMar>
          </w:tcPr>
          <w:p w:rsidR="00000000" w:rsidRPr="00A01BAE" w:rsidP="00A01BAE">
            <w:pPr>
              <w:pStyle w:val="ListBullet"/>
            </w:pPr>
            <w:r w:rsidRPr="00A01BAE">
              <w:t>cleanliness of reusable items</w:t>
            </w:r>
          </w:p>
          <w:p w:rsidR="00000000" w:rsidRPr="00A01BAE" w:rsidP="00A01BAE">
            <w:pPr>
              <w:pStyle w:val="ListBullet"/>
            </w:pPr>
            <w:r w:rsidRPr="00A01BAE">
              <w:t>leak testing of sample bags, preparation of VOC canisters and sampling equipment</w:t>
            </w:r>
          </w:p>
          <w:p w:rsidR="00000000" w:rsidRPr="00A01BAE" w:rsidP="00A01BAE">
            <w:pPr>
              <w:pStyle w:val="ListBullet"/>
            </w:pPr>
            <w:r w:rsidRPr="00A01BAE">
              <w:t>pump pressures and flow rate of sweep gases calibration checks</w:t>
            </w:r>
          </w:p>
          <w:p w:rsidR="00000000" w:rsidRPr="00A01BAE" w:rsidP="00A01BAE">
            <w:pPr>
              <w:pStyle w:val="ListBullet"/>
            </w:pPr>
            <w:r w:rsidRPr="00A01BAE">
              <w:t>olfactometer range, accuracy, precision and lowest detection limit (LDL)</w:t>
            </w:r>
          </w:p>
          <w:p w:rsidR="00000000" w:rsidRPr="00A01BAE" w:rsidP="00A01BAE">
            <w:pPr>
              <w:pStyle w:val="ListBullet"/>
            </w:pPr>
            <w:r w:rsidRPr="00A01BAE">
              <w:t>n-butanol</w:t>
            </w:r>
            <w:r w:rsidRPr="00A01BAE">
              <w:t xml:space="preserve"> storage</w:t>
            </w:r>
          </w:p>
          <w:p w:rsidR="00000000" w:rsidRPr="00A01BAE" w:rsidP="00A01BAE">
            <w:pPr>
              <w:pStyle w:val="ListBullet"/>
            </w:pPr>
            <w:r w:rsidRPr="00A01BAE">
              <w:t>cleanliness of the measurement room of the olfactometry laboratory.</w:t>
            </w:r>
          </w:p>
          <w:p w:rsidR="00000000" w:rsidP="00A01BAE">
            <w:pPr>
              <w:pStyle w:val="BodyText"/>
              <w:rPr>
                <w:lang w:val="en-NZ"/>
              </w:rPr>
            </w:pPr>
          </w:p>
        </w:tc>
      </w:tr>
      <w:tr w:rsidTr="00A01BAE">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rPr>
                <w:rStyle w:val="SpecialBold"/>
              </w:rPr>
              <w:t xml:space="preserve">Selection and training for laboratory panellists include one or more </w:t>
            </w:r>
            <w:r w:rsidRPr="00A01BAE">
              <w:rPr>
                <w:rStyle w:val="SpecialBold"/>
              </w:rPr>
              <w:t>of:</w:t>
            </w:r>
          </w:p>
        </w:tc>
        <w:tc>
          <w:tcPr>
            <w:tcW w:w="6777" w:type="dxa"/>
            <w:tcBorders>
              <w:top w:val="nil"/>
              <w:left w:val="nil"/>
              <w:bottom w:val="nil"/>
              <w:right w:val="nil"/>
            </w:tcBorders>
            <w:tcMar>
              <w:top w:w="0" w:type="dxa"/>
              <w:left w:w="62" w:type="dxa"/>
              <w:bottom w:w="0" w:type="dxa"/>
              <w:right w:w="62" w:type="dxa"/>
            </w:tcMar>
          </w:tcPr>
          <w:p w:rsidR="00000000" w:rsidRPr="00A01BAE" w:rsidP="00A01BAE">
            <w:pPr>
              <w:pStyle w:val="ListBullet"/>
            </w:pPr>
            <w:r w:rsidRPr="00A01BAE">
              <w:t>use of the reference material (n-butanol) to determine odour threshold and performance of individuals i</w:t>
            </w:r>
            <w:r w:rsidRPr="00A01BAE">
              <w:t>n relation to normative values</w:t>
            </w:r>
          </w:p>
          <w:p w:rsidR="00000000" w:rsidRPr="00A01BAE" w:rsidP="00A01BAE">
            <w:pPr>
              <w:pStyle w:val="ListBullet"/>
            </w:pPr>
            <w:r w:rsidRPr="00A01BAE">
              <w:t>use of standard dynamic olfactometry procedures</w:t>
            </w:r>
          </w:p>
          <w:p w:rsidR="00000000" w:rsidRPr="00A01BAE" w:rsidP="00A01BAE">
            <w:pPr>
              <w:pStyle w:val="ListBullet"/>
            </w:pPr>
            <w:r w:rsidRPr="00A01BAE">
              <w:t>effects of alertness, attention, fatigue and health status</w:t>
            </w:r>
          </w:p>
          <w:p w:rsidR="00000000" w:rsidRPr="00A01BAE" w:rsidP="00A01BAE">
            <w:pPr>
              <w:pStyle w:val="ListBullet"/>
            </w:pPr>
            <w:r w:rsidRPr="00A01BAE">
              <w:t>odour descriptor assignation</w:t>
            </w:r>
          </w:p>
          <w:p w:rsidR="00000000" w:rsidRPr="00A01BAE" w:rsidP="00A01BAE">
            <w:pPr>
              <w:pStyle w:val="ListBullet"/>
            </w:pPr>
            <w:r w:rsidRPr="00A01BAE">
              <w:t>odour panel calibration results (AS/NZS 4323.3) and traceability of the panellist tests.</w:t>
            </w:r>
          </w:p>
          <w:p w:rsidR="00000000" w:rsidP="00A01BAE">
            <w:pPr>
              <w:pStyle w:val="BodyText"/>
              <w:rPr>
                <w:lang w:val="en-NZ"/>
              </w:rPr>
            </w:pPr>
          </w:p>
        </w:tc>
      </w:tr>
      <w:tr w:rsidTr="00A01BAE">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rPr>
                <w:rStyle w:val="SpecialBold"/>
              </w:rPr>
              <w:t>Odour laboratory condition requirements include:</w:t>
            </w:r>
          </w:p>
        </w:tc>
        <w:tc>
          <w:tcPr>
            <w:tcW w:w="6777" w:type="dxa"/>
            <w:tcBorders>
              <w:top w:val="nil"/>
              <w:left w:val="nil"/>
              <w:bottom w:val="nil"/>
              <w:right w:val="nil"/>
            </w:tcBorders>
            <w:tcMar>
              <w:top w:w="0" w:type="dxa"/>
              <w:left w:w="62" w:type="dxa"/>
              <w:bottom w:w="0" w:type="dxa"/>
              <w:right w:w="62" w:type="dxa"/>
            </w:tcMar>
          </w:tcPr>
          <w:p w:rsidR="00000000" w:rsidRPr="00A01BAE" w:rsidP="00A01BAE">
            <w:pPr>
              <w:pStyle w:val="ListBullet"/>
            </w:pPr>
            <w:r w:rsidRPr="00A01BAE">
              <w:t>no stray source odours (e.g. renovation, furniture, equipment and stored chemicals)</w:t>
            </w:r>
          </w:p>
          <w:p w:rsidR="00000000" w:rsidRPr="00A01BAE" w:rsidP="00A01BAE">
            <w:pPr>
              <w:pStyle w:val="ListBullet"/>
            </w:pPr>
            <w:r w:rsidRPr="00A01BAE">
              <w:t>effective ventilation with filtered air conditioning</w:t>
            </w:r>
          </w:p>
          <w:p w:rsidR="00000000" w:rsidRPr="00A01BAE" w:rsidP="00A01BAE">
            <w:pPr>
              <w:pStyle w:val="ListBullet"/>
            </w:pPr>
            <w:r w:rsidRPr="00A01BAE">
              <w:t>temperature control</w:t>
            </w:r>
          </w:p>
          <w:p w:rsidR="00000000" w:rsidRPr="00A01BAE" w:rsidP="00A01BAE">
            <w:pPr>
              <w:pStyle w:val="ListBullet"/>
            </w:pPr>
            <w:r w:rsidRPr="00A01BAE">
              <w:t>no direct sunlight exposure</w:t>
            </w:r>
          </w:p>
          <w:p w:rsidR="00000000" w:rsidRPr="00A01BAE" w:rsidP="00A01BAE">
            <w:pPr>
              <w:pStyle w:val="ListBullet"/>
            </w:pPr>
            <w:r w:rsidRPr="00A01BAE">
              <w:t>noise-free room.</w:t>
            </w:r>
          </w:p>
          <w:p w:rsidR="00000000" w:rsidP="00A01BAE">
            <w:pPr>
              <w:pStyle w:val="BodyText"/>
              <w:rPr>
                <w:lang w:val="en-NZ"/>
              </w:rPr>
            </w:pPr>
          </w:p>
        </w:tc>
      </w:tr>
      <w:tr w:rsidTr="00A01BAE">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rPr>
                <w:rStyle w:val="SpecialBold"/>
              </w:rPr>
              <w:t>Odour monitoring data include one or more of:</w:t>
            </w:r>
          </w:p>
        </w:tc>
        <w:tc>
          <w:tcPr>
            <w:tcW w:w="6777" w:type="dxa"/>
            <w:tcBorders>
              <w:top w:val="nil"/>
              <w:left w:val="nil"/>
              <w:bottom w:val="nil"/>
              <w:right w:val="nil"/>
            </w:tcBorders>
            <w:tcMar>
              <w:top w:w="0" w:type="dxa"/>
              <w:left w:w="62" w:type="dxa"/>
              <w:bottom w:w="0" w:type="dxa"/>
              <w:right w:w="62" w:type="dxa"/>
            </w:tcMar>
          </w:tcPr>
          <w:p w:rsidR="00000000" w:rsidRPr="00A01BAE" w:rsidP="00A01BAE">
            <w:pPr>
              <w:pStyle w:val="ListBullet"/>
            </w:pPr>
            <w:r w:rsidRPr="00A01BAE">
              <w:t>emission source characteristics, such as air velocity, dimensions of a vent or area, temperature, humidity, partial pressure, adjustments made for high temperature and/or high pressure and/or high humidity flo</w:t>
            </w:r>
            <w:r w:rsidRPr="00A01BAE">
              <w:t>ws, and ventilation rates</w:t>
            </w:r>
          </w:p>
          <w:p w:rsidR="00000000" w:rsidRPr="00A01BAE" w:rsidP="00A01BAE">
            <w:pPr>
              <w:pStyle w:val="ListBullet"/>
            </w:pPr>
            <w:r w:rsidRPr="00A01BAE">
              <w:t>sampling data, such as sampling start/end times, type of equipment, sampling location within the source,</w:t>
            </w:r>
            <w:r w:rsidRPr="00A01BAE">
              <w:t xml:space="preserve"> meteorological and process conditions, ambient temperature, pressure and humidity, diluter use and dynamic dilution rate, sampling flow rates, and any deviations from the requirements of the standard or internal procedure</w:t>
            </w:r>
          </w:p>
          <w:p w:rsidR="00000000" w:rsidRPr="00A01BAE" w:rsidP="00A01BAE">
            <w:pPr>
              <w:pStyle w:val="ListBullet"/>
            </w:pPr>
            <w:r w:rsidRPr="00A01BAE">
              <w:t>laboratory measurement data, such</w:t>
            </w:r>
            <w:r w:rsidRPr="00A01BAE">
              <w:t xml:space="preserve"> as identification of the panellist, temperature of the room, date and time of the measurement, chemical analyser and olfactometer operational parameters, odour panel calibration result, set of dilutions over the measurements rounds, average dilution for t</w:t>
            </w:r>
            <w:r w:rsidRPr="00A01BAE">
              <w:t>he panel at the odour threshold, odour concentration result and uncertainty, and any deviation from the requirements of the standard or internal procedure.</w:t>
            </w:r>
          </w:p>
          <w:p w:rsidR="00000000" w:rsidP="00A01BAE">
            <w:pPr>
              <w:pStyle w:val="BodyText"/>
              <w:rPr>
                <w:lang w:val="en-NZ"/>
              </w:rPr>
            </w:pPr>
          </w:p>
        </w:tc>
      </w:tr>
      <w:tr w:rsidTr="00A01BAE">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rPr>
                <w:rStyle w:val="SpecialBold"/>
              </w:rPr>
              <w:t>Odour control strategies include one or more of:</w:t>
            </w:r>
          </w:p>
        </w:tc>
        <w:tc>
          <w:tcPr>
            <w:tcW w:w="6777" w:type="dxa"/>
            <w:tcBorders>
              <w:top w:val="nil"/>
              <w:left w:val="nil"/>
              <w:bottom w:val="nil"/>
              <w:right w:val="nil"/>
            </w:tcBorders>
            <w:tcMar>
              <w:top w:w="0" w:type="dxa"/>
              <w:left w:w="62" w:type="dxa"/>
              <w:bottom w:w="0" w:type="dxa"/>
              <w:right w:w="62" w:type="dxa"/>
            </w:tcMar>
          </w:tcPr>
          <w:p w:rsidR="00000000" w:rsidRPr="00A01BAE" w:rsidP="00A01BAE">
            <w:pPr>
              <w:pStyle w:val="ListBullet"/>
            </w:pPr>
            <w:r w:rsidRPr="00A01BAE">
              <w:t>physical, such as adsorption, absorption, photo ionisation, masking and neutralisation</w:t>
            </w:r>
          </w:p>
          <w:p w:rsidR="00000000" w:rsidRPr="00A01BAE" w:rsidP="00A01BAE">
            <w:pPr>
              <w:pStyle w:val="ListBullet"/>
            </w:pPr>
            <w:r w:rsidRPr="00A01BAE">
              <w:t>chemical, such as scrubbing, oxidation and incineration</w:t>
            </w:r>
          </w:p>
          <w:p w:rsidR="00000000" w:rsidRPr="00A01BAE" w:rsidP="00A01BAE">
            <w:pPr>
              <w:pStyle w:val="ListBullet"/>
            </w:pPr>
            <w:r w:rsidRPr="00A01BAE">
              <w:t>biological, such as biofiltration using bacteria</w:t>
            </w:r>
          </w:p>
          <w:p w:rsidR="00000000" w:rsidRPr="00A01BAE" w:rsidP="00A01BAE">
            <w:pPr>
              <w:pStyle w:val="ListBullet"/>
            </w:pPr>
            <w:r w:rsidRPr="00A01BAE">
              <w:t>combined, such as bioscrubbers.</w:t>
            </w:r>
          </w:p>
          <w:p w:rsidR="00000000" w:rsidP="00A01BAE">
            <w:pPr>
              <w:pStyle w:val="BodyText"/>
              <w:rPr>
                <w:lang w:val="en-NZ"/>
              </w:rPr>
            </w:pPr>
          </w:p>
        </w:tc>
      </w:tr>
      <w:tr w:rsidTr="00A01BAE">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A01BAE">
            <w:pPr>
              <w:pStyle w:val="BodyText"/>
              <w:rPr>
                <w:lang w:val="en-NZ"/>
              </w:rPr>
            </w:pPr>
            <w:r w:rsidRPr="00A01BAE">
              <w:rPr>
                <w:rStyle w:val="SpecialBold"/>
              </w:rPr>
              <w:t>WHS and environmental manageme</w:t>
            </w:r>
            <w:r w:rsidRPr="00A01BAE">
              <w:rPr>
                <w:rStyle w:val="SpecialBold"/>
              </w:rPr>
              <w:t>nt requirements include:</w:t>
            </w:r>
          </w:p>
        </w:tc>
        <w:tc>
          <w:tcPr>
            <w:tcW w:w="6777" w:type="dxa"/>
            <w:tcBorders>
              <w:top w:val="nil"/>
              <w:left w:val="nil"/>
              <w:bottom w:val="nil"/>
              <w:right w:val="nil"/>
            </w:tcBorders>
            <w:tcMar>
              <w:top w:w="0" w:type="dxa"/>
              <w:left w:w="62" w:type="dxa"/>
              <w:bottom w:w="0" w:type="dxa"/>
              <w:right w:w="62" w:type="dxa"/>
            </w:tcMar>
          </w:tcPr>
          <w:p w:rsidR="00000000" w:rsidRPr="00A01BAE" w:rsidP="00A01BAE">
            <w:pPr>
              <w:pStyle w:val="ListBullet"/>
            </w:pPr>
            <w:r w:rsidRPr="00A01BAE">
              <w:t>compliance with relevant federal/state/territory WHS legislation at all times</w:t>
            </w:r>
          </w:p>
          <w:p w:rsidR="00000000" w:rsidRPr="00A01BAE" w:rsidP="00A01BAE">
            <w:pPr>
              <w:pStyle w:val="ListBullet"/>
            </w:pPr>
            <w:r w:rsidRPr="00A01BAE">
              <w:t>assuming that samples are potentially hazardous and applying standard precautions</w:t>
            </w:r>
          </w:p>
          <w:p w:rsidR="00000000" w:rsidRPr="00A01BAE" w:rsidP="00A01BAE">
            <w:pPr>
              <w:pStyle w:val="ListBullet"/>
            </w:pPr>
            <w:r w:rsidRPr="00A01BAE">
              <w:t>accessing and applying current industry understanding of infection con</w:t>
            </w:r>
            <w:r w:rsidRPr="00A01BAE">
              <w:t>trol issued by the National Health and Medical Research Council (NHMRC) and state/territory Departments of Health, where relevant.</w:t>
            </w:r>
          </w:p>
          <w:p w:rsidR="00000000" w:rsidRPr="00A01BAE" w:rsidP="00A01BAE">
            <w:pPr>
              <w:pStyle w:val="BodyText"/>
            </w:pPr>
          </w:p>
        </w:tc>
      </w:tr>
    </w:tbl>
    <w:p w:rsidR="00000000" w:rsidRPr="00A01BAE" w:rsidP="00A01BAE">
      <w:pPr>
        <w:pStyle w:val="BodyText"/>
      </w:pPr>
    </w:p>
    <w:p w:rsidR="00000000" w:rsidRPr="00A01BAE" w:rsidP="00A01BAE">
      <w:pPr>
        <w:pStyle w:val="AllowPageBreak"/>
      </w:pPr>
    </w:p>
    <w:p w:rsidR="00000000" w:rsidRPr="00A01BAE" w:rsidP="00A01BAE">
      <w:pPr>
        <w:pStyle w:val="Heading1"/>
      </w:pPr>
      <w:bookmarkStart w:id="9" w:name="O_922432"/>
      <w:bookmarkEnd w:id="9"/>
      <w:r w:rsidRPr="00A01BAE">
        <w:t>Unit Mapping Information</w:t>
      </w:r>
    </w:p>
    <w:p w:rsidR="00000000" w:rsidRPr="00A01BAE" w:rsidP="0076086D">
      <w:pPr>
        <w:pStyle w:val="BodyText"/>
      </w:pPr>
      <w:r w:rsidRPr="00A01BAE">
        <w:t>Release 1. Supersedes and is equivalent to MSS025010A Assist with odour source assessment</w:t>
      </w:r>
    </w:p>
    <w:p w:rsidR="00000000" w:rsidRPr="00A01BAE" w:rsidP="00A01BAE">
      <w:pPr>
        <w:pStyle w:val="Heading1"/>
      </w:pPr>
      <w:bookmarkStart w:id="10" w:name="O_922425"/>
      <w:bookmarkEnd w:id="10"/>
      <w:r w:rsidRPr="00A01BAE">
        <w:t>Links</w:t>
      </w:r>
    </w:p>
    <w:p w:rsidR="00000000" w:rsidRPr="00A01BAE" w:rsidP="0076086D">
      <w:pPr>
        <w:pStyle w:val="BodyText"/>
      </w:pPr>
      <w:r w:rsidRPr="00A01BAE">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6E148A">
        <w:rPr>
          <w:rStyle w:val="Hyperlink"/>
        </w:rPr>
        <w:t>https://vetnet.gov.au/Pages/TrainingDocs.aspx?q=5b04f318-804f-4dc0-9463-c3fb9a3fe998</w:t>
      </w:r>
      <w:r>
        <w:fldChar w:fldCharType="end"/>
      </w:r>
    </w:p>
    <w:p w:rsidR="00000000" w:rsidRPr="00A01BAE" w:rsidP="00A01BAE"/>
    <w:sectPr w:rsidSect="00A01B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B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BAE" w:rsidRPr="0076086D" w:rsidP="007608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B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86D" w:rsidP="00A01B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76086D" w:rsidP="00A01BA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6086D" w:rsidP="00A01B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B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8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1BAE" w:rsidRPr="0076086D" w:rsidP="007608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B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86D" w:rsidRPr="002D2AF8" w:rsidP="00A01BAE">
    <w:pPr>
      <w:pStyle w:val="Header"/>
      <w:framePr w:wrap="around"/>
    </w:pPr>
    <w:r>
      <w:fldChar w:fldCharType="begin"/>
    </w:r>
    <w:r>
      <w:instrText xml:space="preserve"> TITLE   \* MERGEFORMAT </w:instrText>
    </w:r>
    <w:r>
      <w:fldChar w:fldCharType="separate"/>
    </w:r>
    <w:r>
      <w:t>MSS025010 Assist with odour source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July 2020</w:t>
    </w:r>
    <w:r>
      <w:fldChar w:fldCharType="end"/>
    </w:r>
  </w:p>
  <w:p w:rsidR="0076086D" w:rsidP="00A01B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7AEF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E1E53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1B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1BAE"/>
    <w:pPr>
      <w:spacing w:before="360" w:after="60"/>
      <w:outlineLvl w:val="0"/>
    </w:pPr>
    <w:rPr>
      <w:sz w:val="32"/>
    </w:rPr>
  </w:style>
  <w:style w:type="paragraph" w:styleId="Heading2">
    <w:name w:val="heading 2"/>
    <w:basedOn w:val="HeadingBase"/>
    <w:next w:val="BodyText"/>
    <w:link w:val="Heading2Char"/>
    <w:qFormat/>
    <w:rsid w:val="00A01BAE"/>
    <w:pPr>
      <w:keepLines/>
      <w:spacing w:before="240" w:after="120"/>
      <w:outlineLvl w:val="1"/>
    </w:pPr>
    <w:rPr>
      <w:sz w:val="28"/>
      <w:szCs w:val="40"/>
    </w:rPr>
  </w:style>
  <w:style w:type="paragraph" w:styleId="Heading3">
    <w:name w:val="heading 3"/>
    <w:basedOn w:val="HeadingBase"/>
    <w:next w:val="BodyText"/>
    <w:link w:val="Heading3Char"/>
    <w:qFormat/>
    <w:rsid w:val="00A01BAE"/>
    <w:pPr>
      <w:spacing w:before="180" w:after="120"/>
      <w:outlineLvl w:val="2"/>
    </w:pPr>
    <w:rPr>
      <w:spacing w:val="-10"/>
      <w:kern w:val="32"/>
    </w:rPr>
  </w:style>
  <w:style w:type="paragraph" w:styleId="Heading4">
    <w:name w:val="heading 4"/>
    <w:basedOn w:val="HeadingBase"/>
    <w:next w:val="BodyText"/>
    <w:link w:val="Heading4Char"/>
    <w:qFormat/>
    <w:rsid w:val="00A01BAE"/>
    <w:pPr>
      <w:spacing w:before="160" w:after="120"/>
      <w:outlineLvl w:val="3"/>
    </w:pPr>
    <w:rPr>
      <w:sz w:val="22"/>
    </w:rPr>
  </w:style>
  <w:style w:type="paragraph" w:styleId="Heading5">
    <w:name w:val="heading 5"/>
    <w:basedOn w:val="HeadingBase"/>
    <w:next w:val="Normal"/>
    <w:link w:val="Heading5Char"/>
    <w:qFormat/>
    <w:rsid w:val="00A01BAE"/>
    <w:pPr>
      <w:spacing w:before="80"/>
      <w:outlineLvl w:val="4"/>
    </w:pPr>
    <w:rPr>
      <w:color w:val="918585"/>
      <w:sz w:val="20"/>
    </w:rPr>
  </w:style>
  <w:style w:type="paragraph" w:styleId="Heading6">
    <w:name w:val="heading 6"/>
    <w:basedOn w:val="HeadingBase"/>
    <w:next w:val="Normal"/>
    <w:link w:val="Heading6Char"/>
    <w:qFormat/>
    <w:rsid w:val="00A01BAE"/>
    <w:pPr>
      <w:spacing w:before="60"/>
      <w:outlineLvl w:val="5"/>
    </w:pPr>
    <w:rPr>
      <w:color w:val="918585"/>
      <w:sz w:val="20"/>
    </w:rPr>
  </w:style>
  <w:style w:type="paragraph" w:styleId="Heading7">
    <w:name w:val="heading 7"/>
    <w:basedOn w:val="Normal"/>
    <w:next w:val="Normal"/>
    <w:link w:val="Heading7Char"/>
    <w:qFormat/>
    <w:rsid w:val="00A01BAE"/>
    <w:pPr>
      <w:ind w:left="720"/>
      <w:outlineLvl w:val="6"/>
    </w:pPr>
    <w:rPr>
      <w:i/>
    </w:rPr>
  </w:style>
  <w:style w:type="paragraph" w:styleId="Heading8">
    <w:name w:val="heading 8"/>
    <w:basedOn w:val="Normal"/>
    <w:next w:val="Normal"/>
    <w:link w:val="Heading8Char"/>
    <w:qFormat/>
    <w:rsid w:val="00A01BAE"/>
    <w:pPr>
      <w:ind w:left="720"/>
      <w:outlineLvl w:val="7"/>
    </w:pPr>
    <w:rPr>
      <w:i/>
    </w:rPr>
  </w:style>
  <w:style w:type="paragraph" w:styleId="Heading9">
    <w:name w:val="heading 9"/>
    <w:basedOn w:val="Normal"/>
    <w:next w:val="Normal"/>
    <w:link w:val="Heading9Char"/>
    <w:qFormat/>
    <w:rsid w:val="00A01BAE"/>
    <w:pPr>
      <w:ind w:left="720"/>
      <w:outlineLvl w:val="8"/>
    </w:pPr>
    <w:rPr>
      <w:i/>
    </w:rPr>
  </w:style>
  <w:style w:type="character" w:default="1" w:styleId="DefaultParagraphFont">
    <w:name w:val="Default Paragraph Font"/>
    <w:uiPriority w:val="1"/>
    <w:unhideWhenUsed/>
    <w:rsid w:val="00A01B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1BAE"/>
  </w:style>
  <w:style w:type="character" w:customStyle="1" w:styleId="Heading1Char">
    <w:name w:val="Heading 1 Char"/>
    <w:basedOn w:val="DefaultParagraphFont"/>
    <w:link w:val="Heading1"/>
    <w:rsid w:val="00A01BAE"/>
    <w:rPr>
      <w:rFonts w:ascii="Times New Roman" w:eastAsia="Times New Roman" w:hAnsi="Times New Roman" w:cs="Times New Roman"/>
      <w:b/>
      <w:sz w:val="32"/>
      <w:szCs w:val="20"/>
      <w:lang w:eastAsia="en-US"/>
    </w:rPr>
  </w:style>
  <w:style w:type="paragraph" w:styleId="BodyText">
    <w:name w:val="Body Text"/>
    <w:basedOn w:val="Normal"/>
    <w:link w:val="BodyTextChar"/>
    <w:rsid w:val="00A01B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1BAE"/>
    <w:rPr>
      <w:rFonts w:ascii="Times New Roman" w:eastAsia="Times New Roman" w:hAnsi="Times New Roman" w:cs="Times New Roman"/>
      <w:sz w:val="24"/>
      <w:lang w:eastAsia="en-US"/>
    </w:rPr>
  </w:style>
  <w:style w:type="paragraph" w:styleId="ListBullet">
    <w:name w:val="List Bullet"/>
    <w:basedOn w:val="List"/>
    <w:rsid w:val="00A01BAE"/>
    <w:pPr>
      <w:numPr>
        <w:numId w:val="11"/>
      </w:numPr>
      <w:tabs>
        <w:tab w:val="clear" w:pos="340"/>
      </w:tabs>
      <w:spacing w:before="40" w:after="40"/>
    </w:pPr>
  </w:style>
  <w:style w:type="character" w:customStyle="1" w:styleId="SpecialBold">
    <w:name w:val="Special Bold"/>
    <w:basedOn w:val="DefaultParagraphFont"/>
    <w:rsid w:val="00A01BAE"/>
    <w:rPr>
      <w:b/>
      <w:spacing w:val="0"/>
    </w:rPr>
  </w:style>
  <w:style w:type="paragraph" w:customStyle="1" w:styleId="SuperHeading">
    <w:name w:val="SuperHeading"/>
    <w:basedOn w:val="Normal"/>
    <w:rsid w:val="00A01BAE"/>
    <w:pPr>
      <w:spacing w:before="240" w:after="120"/>
      <w:outlineLvl w:val="0"/>
    </w:pPr>
    <w:rPr>
      <w:rFonts w:ascii="Times New Roman" w:hAnsi="Times New Roman"/>
      <w:b/>
      <w:sz w:val="32"/>
    </w:rPr>
  </w:style>
  <w:style w:type="paragraph" w:customStyle="1" w:styleId="AllowPageBreak">
    <w:name w:val="AllowPageBreak"/>
    <w:rsid w:val="00A01B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1B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1B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1B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1B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1B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1B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1B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1BAE"/>
    <w:rPr>
      <w:rFonts w:ascii="Courier New" w:eastAsia="Times New Roman" w:hAnsi="Courier New" w:cs="Times New Roman"/>
      <w:i/>
      <w:szCs w:val="20"/>
      <w:lang w:eastAsia="en-US"/>
    </w:rPr>
  </w:style>
  <w:style w:type="paragraph" w:customStyle="1" w:styleId="HeadingBase">
    <w:name w:val="Heading Base"/>
    <w:rsid w:val="00A01B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1BAE"/>
    <w:pPr>
      <w:tabs>
        <w:tab w:val="right" w:leader="dot" w:pos="9072"/>
      </w:tabs>
      <w:ind w:left="567"/>
    </w:pPr>
    <w:rPr>
      <w:szCs w:val="22"/>
    </w:rPr>
  </w:style>
  <w:style w:type="paragraph" w:customStyle="1" w:styleId="TOCBase">
    <w:name w:val="TOC Base"/>
    <w:rsid w:val="00A01B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1BAE"/>
    <w:pPr>
      <w:tabs>
        <w:tab w:val="right" w:leader="dot" w:pos="9072"/>
      </w:tabs>
      <w:spacing w:before="40" w:after="40"/>
      <w:ind w:left="284"/>
    </w:pPr>
    <w:rPr>
      <w:rFonts w:ascii="Times New Roman" w:hAnsi="Times New Roman"/>
    </w:rPr>
  </w:style>
  <w:style w:type="paragraph" w:styleId="TOC1">
    <w:name w:val="toc 1"/>
    <w:basedOn w:val="TOCBase"/>
    <w:next w:val="Normal"/>
    <w:rsid w:val="00A01B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1B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1BAE"/>
    <w:rPr>
      <w:rFonts w:ascii="Times New Roman" w:eastAsia="Times New Roman" w:hAnsi="Times New Roman" w:cs="Times New Roman"/>
      <w:sz w:val="16"/>
      <w:lang w:eastAsia="en-US"/>
    </w:rPr>
  </w:style>
  <w:style w:type="paragraph" w:styleId="Title">
    <w:name w:val="Title"/>
    <w:basedOn w:val="HeadingBase"/>
    <w:link w:val="TitleChar"/>
    <w:qFormat/>
    <w:rsid w:val="00A01BAE"/>
    <w:pPr>
      <w:spacing w:before="5040"/>
      <w:jc w:val="center"/>
    </w:pPr>
    <w:rPr>
      <w:sz w:val="48"/>
      <w:szCs w:val="72"/>
      <w:lang w:val="en-US"/>
    </w:rPr>
  </w:style>
  <w:style w:type="character" w:customStyle="1" w:styleId="TitleChar">
    <w:name w:val="Title Char"/>
    <w:basedOn w:val="DefaultParagraphFont"/>
    <w:link w:val="Title"/>
    <w:rsid w:val="00A01B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1BAE"/>
    <w:pPr>
      <w:tabs>
        <w:tab w:val="left" w:pos="3600"/>
        <w:tab w:val="left" w:pos="3958"/>
      </w:tabs>
    </w:pPr>
  </w:style>
  <w:style w:type="paragraph" w:styleId="List">
    <w:name w:val="List"/>
    <w:basedOn w:val="BodyText"/>
    <w:next w:val="BodyText"/>
    <w:rsid w:val="00A01BAE"/>
    <w:pPr>
      <w:tabs>
        <w:tab w:val="left" w:pos="340"/>
      </w:tabs>
      <w:spacing w:before="60" w:after="60"/>
      <w:ind w:left="340" w:hanging="340"/>
    </w:pPr>
  </w:style>
  <w:style w:type="paragraph" w:customStyle="1" w:styleId="Note">
    <w:name w:val="Note"/>
    <w:basedOn w:val="BodyText"/>
    <w:rsid w:val="00A01B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1BAE"/>
    <w:pPr>
      <w:framePr w:wrap="auto" w:hAnchor="text" w:y="6049"/>
    </w:pPr>
    <w:rPr>
      <w:color w:val="000000"/>
      <w:sz w:val="40"/>
    </w:rPr>
  </w:style>
  <w:style w:type="paragraph" w:customStyle="1" w:styleId="TOCTitle">
    <w:name w:val="TOCTitle"/>
    <w:basedOn w:val="Heading1"/>
    <w:rsid w:val="00A01BAE"/>
    <w:pPr>
      <w:spacing w:after="240"/>
      <w:jc w:val="center"/>
      <w:outlineLvl w:val="9"/>
    </w:pPr>
    <w:rPr>
      <w:caps/>
    </w:rPr>
  </w:style>
  <w:style w:type="paragraph" w:customStyle="1" w:styleId="Version">
    <w:name w:val="Version"/>
    <w:rsid w:val="00A01B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1BAE"/>
    <w:pPr>
      <w:numPr>
        <w:numId w:val="12"/>
      </w:numPr>
      <w:tabs>
        <w:tab w:val="clear" w:pos="680"/>
      </w:tabs>
    </w:pPr>
  </w:style>
  <w:style w:type="paragraph" w:styleId="Index1">
    <w:name w:val="index 1"/>
    <w:basedOn w:val="Normal"/>
    <w:next w:val="Normal"/>
    <w:semiHidden/>
    <w:rsid w:val="00A01BAE"/>
    <w:pPr>
      <w:keepNext w:val="0"/>
      <w:tabs>
        <w:tab w:val="right" w:pos="4176"/>
      </w:tabs>
      <w:ind w:left="198" w:hanging="198"/>
    </w:pPr>
    <w:rPr>
      <w:rFonts w:ascii="Garamond" w:hAnsi="Garamond"/>
    </w:rPr>
  </w:style>
  <w:style w:type="paragraph" w:styleId="IndexHeading">
    <w:name w:val="index heading"/>
    <w:basedOn w:val="Normal"/>
    <w:next w:val="Index1"/>
    <w:semiHidden/>
    <w:rsid w:val="00A01BAE"/>
    <w:pPr>
      <w:spacing w:before="120" w:after="120"/>
    </w:pPr>
    <w:rPr>
      <w:rFonts w:ascii="Arial" w:hAnsi="Arial"/>
      <w:b/>
      <w:color w:val="918585"/>
      <w:sz w:val="24"/>
    </w:rPr>
  </w:style>
  <w:style w:type="paragraph" w:styleId="Header">
    <w:name w:val="header"/>
    <w:basedOn w:val="Normal"/>
    <w:link w:val="HeaderChar"/>
    <w:rsid w:val="00A01B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1BAE"/>
    <w:rPr>
      <w:rFonts w:ascii="Times New Roman" w:eastAsia="Times New Roman" w:hAnsi="Times New Roman" w:cs="Times New Roman"/>
      <w:sz w:val="16"/>
      <w:szCs w:val="20"/>
      <w:lang w:val="en-GB" w:eastAsia="en-US"/>
    </w:rPr>
  </w:style>
  <w:style w:type="paragraph" w:customStyle="1" w:styleId="Chapter">
    <w:name w:val="Chapter"/>
    <w:basedOn w:val="Normal"/>
    <w:rsid w:val="00A01BAE"/>
    <w:pPr>
      <w:spacing w:before="240"/>
    </w:pPr>
    <w:rPr>
      <w:rFonts w:ascii="Times New Roman" w:hAnsi="Times New Roman"/>
      <w:smallCaps/>
      <w:spacing w:val="80"/>
      <w:sz w:val="28"/>
    </w:rPr>
  </w:style>
  <w:style w:type="paragraph" w:customStyle="1" w:styleId="InChapter">
    <w:name w:val="InChapter"/>
    <w:basedOn w:val="Heading3"/>
    <w:rsid w:val="00A01BAE"/>
    <w:pPr>
      <w:spacing w:after="240"/>
      <w:outlineLvl w:val="9"/>
    </w:pPr>
    <w:rPr>
      <w:noProof/>
    </w:rPr>
  </w:style>
  <w:style w:type="paragraph" w:styleId="Index2">
    <w:name w:val="index 2"/>
    <w:basedOn w:val="Normal"/>
    <w:next w:val="Normal"/>
    <w:semiHidden/>
    <w:rsid w:val="00A01BAE"/>
    <w:pPr>
      <w:tabs>
        <w:tab w:val="right" w:pos="4176"/>
      </w:tabs>
      <w:ind w:left="568" w:hanging="284"/>
    </w:pPr>
    <w:rPr>
      <w:rFonts w:ascii="Garamond" w:hAnsi="Garamond"/>
    </w:rPr>
  </w:style>
  <w:style w:type="paragraph" w:customStyle="1" w:styleId="Byline">
    <w:name w:val="Byline"/>
    <w:rsid w:val="00A01B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1BAE"/>
    <w:pPr>
      <w:tabs>
        <w:tab w:val="clear" w:pos="3600"/>
        <w:tab w:val="clear" w:pos="3958"/>
      </w:tabs>
      <w:jc w:val="right"/>
    </w:pPr>
  </w:style>
  <w:style w:type="character" w:styleId="Emphasis">
    <w:name w:val="Emphasis"/>
    <w:basedOn w:val="DefaultParagraphFont"/>
    <w:qFormat/>
    <w:rsid w:val="00A01BAE"/>
    <w:rPr>
      <w:i/>
    </w:rPr>
  </w:style>
  <w:style w:type="paragraph" w:styleId="Caption">
    <w:name w:val="caption"/>
    <w:basedOn w:val="BodyText"/>
    <w:next w:val="Normal"/>
    <w:qFormat/>
    <w:rsid w:val="00A01BAE"/>
    <w:pPr>
      <w:framePr w:w="2268" w:hSpace="181" w:vSpace="181" w:wrap="around" w:vAnchor="text" w:hAnchor="page" w:x="1135" w:y="285" w:anchorLock="1"/>
    </w:pPr>
    <w:rPr>
      <w:i/>
    </w:rPr>
  </w:style>
  <w:style w:type="paragraph" w:customStyle="1" w:styleId="MiniTOCTitle">
    <w:name w:val="MiniTOCTitle"/>
    <w:basedOn w:val="Heading4"/>
    <w:rsid w:val="00A01BAE"/>
    <w:pPr>
      <w:spacing w:before="240"/>
      <w:outlineLvl w:val="9"/>
    </w:pPr>
    <w:rPr>
      <w:noProof/>
      <w:sz w:val="24"/>
    </w:rPr>
  </w:style>
  <w:style w:type="paragraph" w:customStyle="1" w:styleId="MiniTOCItem">
    <w:name w:val="MiniTOCItem"/>
    <w:basedOn w:val="ListBullet"/>
    <w:rsid w:val="00A01BAE"/>
    <w:pPr>
      <w:numPr>
        <w:numId w:val="0"/>
      </w:numPr>
      <w:tabs>
        <w:tab w:val="right" w:leader="dot" w:pos="6521"/>
      </w:tabs>
      <w:spacing w:before="0" w:after="0"/>
    </w:pPr>
  </w:style>
  <w:style w:type="paragraph" w:customStyle="1" w:styleId="TOFTitle">
    <w:name w:val="TOFTitle"/>
    <w:basedOn w:val="TOCTitle"/>
    <w:rsid w:val="00A01BAE"/>
  </w:style>
  <w:style w:type="paragraph" w:styleId="TableofFigures">
    <w:name w:val="table of figures"/>
    <w:basedOn w:val="Normal"/>
    <w:next w:val="Normal"/>
    <w:semiHidden/>
    <w:rsid w:val="00A01BAE"/>
    <w:pPr>
      <w:tabs>
        <w:tab w:val="right" w:leader="dot" w:pos="9072"/>
      </w:tabs>
      <w:ind w:left="970" w:hanging="403"/>
    </w:pPr>
    <w:rPr>
      <w:rFonts w:ascii="Times New Roman" w:hAnsi="Times New Roman"/>
      <w:b/>
    </w:rPr>
  </w:style>
  <w:style w:type="paragraph" w:styleId="ListNumber">
    <w:name w:val="List Number"/>
    <w:basedOn w:val="List"/>
    <w:rsid w:val="00A01BAE"/>
    <w:pPr>
      <w:numPr>
        <w:numId w:val="14"/>
      </w:numPr>
      <w:tabs>
        <w:tab w:val="clear" w:pos="340"/>
      </w:tabs>
    </w:pPr>
  </w:style>
  <w:style w:type="character" w:customStyle="1" w:styleId="WingdingSymbols">
    <w:name w:val="Wingding Symbols"/>
    <w:rsid w:val="00A01BAE"/>
    <w:rPr>
      <w:rFonts w:ascii="Wingdings" w:hAnsi="Wingdings"/>
    </w:rPr>
  </w:style>
  <w:style w:type="paragraph" w:customStyle="1" w:styleId="TableHeading">
    <w:name w:val="Table Heading"/>
    <w:basedOn w:val="HeadingBase"/>
    <w:rsid w:val="00A01BAE"/>
    <w:pPr>
      <w:keepLines/>
      <w:pBdr>
        <w:bottom w:val="single" w:sz="6" w:space="1" w:color="918585"/>
      </w:pBdr>
      <w:spacing w:before="240"/>
    </w:pPr>
  </w:style>
  <w:style w:type="character" w:customStyle="1" w:styleId="HotSpot">
    <w:name w:val="HotSpot"/>
    <w:rsid w:val="00A01BAE"/>
    <w:rPr>
      <w:color w:val="0033CC"/>
      <w:u w:val="none"/>
    </w:rPr>
  </w:style>
  <w:style w:type="paragraph" w:customStyle="1" w:styleId="BodyTextRight">
    <w:name w:val="Body Text Right"/>
    <w:basedOn w:val="BodyText"/>
    <w:rsid w:val="00A01BAE"/>
    <w:pPr>
      <w:spacing w:before="0" w:after="0"/>
      <w:jc w:val="right"/>
    </w:pPr>
  </w:style>
  <w:style w:type="paragraph" w:styleId="Index3">
    <w:name w:val="index 3"/>
    <w:basedOn w:val="ListNumber2"/>
    <w:next w:val="Normal"/>
    <w:semiHidden/>
    <w:rsid w:val="00A01BAE"/>
    <w:pPr>
      <w:numPr>
        <w:numId w:val="0"/>
      </w:numPr>
      <w:tabs>
        <w:tab w:val="right" w:leader="dot" w:pos="4176"/>
      </w:tabs>
    </w:pPr>
  </w:style>
  <w:style w:type="paragraph" w:styleId="ListNumber2">
    <w:name w:val="List Number 2"/>
    <w:basedOn w:val="List2"/>
    <w:rsid w:val="00A01BAE"/>
    <w:pPr>
      <w:numPr>
        <w:numId w:val="9"/>
      </w:numPr>
      <w:tabs>
        <w:tab w:val="clear" w:pos="1060"/>
      </w:tabs>
    </w:pPr>
  </w:style>
  <w:style w:type="paragraph" w:customStyle="1" w:styleId="MarginNote">
    <w:name w:val="Margin Note"/>
    <w:basedOn w:val="BodyText"/>
    <w:rsid w:val="00A01B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1B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1B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1BAE"/>
    <w:rPr>
      <w:sz w:val="32"/>
    </w:rPr>
  </w:style>
  <w:style w:type="paragraph" w:customStyle="1" w:styleId="HeadingProcedure">
    <w:name w:val="Heading Procedure"/>
    <w:basedOn w:val="HeadingBase"/>
    <w:next w:val="Normal"/>
    <w:rsid w:val="00A01BAE"/>
    <w:pPr>
      <w:tabs>
        <w:tab w:val="left" w:pos="0"/>
      </w:tabs>
      <w:spacing w:before="120" w:after="60"/>
    </w:pPr>
    <w:rPr>
      <w:i/>
      <w:color w:val="918585"/>
      <w:sz w:val="22"/>
    </w:rPr>
  </w:style>
  <w:style w:type="paragraph" w:customStyle="1" w:styleId="TableBodyText">
    <w:name w:val="Table Body Text"/>
    <w:basedOn w:val="BodyText"/>
    <w:rsid w:val="00A01BAE"/>
    <w:pPr>
      <w:spacing w:before="60" w:after="60"/>
    </w:pPr>
  </w:style>
  <w:style w:type="paragraph" w:styleId="ListContinue">
    <w:name w:val="List Continue"/>
    <w:basedOn w:val="List"/>
    <w:rsid w:val="00A01BAE"/>
    <w:pPr>
      <w:ind w:firstLine="0"/>
    </w:pPr>
  </w:style>
  <w:style w:type="paragraph" w:customStyle="1" w:styleId="ListNote">
    <w:name w:val="List Note"/>
    <w:basedOn w:val="List"/>
    <w:rsid w:val="00A01BAE"/>
    <w:pPr>
      <w:pBdr>
        <w:top w:val="single" w:sz="6" w:space="2" w:color="918585"/>
        <w:bottom w:val="single" w:sz="6" w:space="2" w:color="918585"/>
      </w:pBdr>
      <w:tabs>
        <w:tab w:val="left" w:pos="1021"/>
      </w:tabs>
      <w:ind w:firstLine="0"/>
    </w:pPr>
  </w:style>
  <w:style w:type="paragraph" w:customStyle="1" w:styleId="Warning">
    <w:name w:val="Warning"/>
    <w:basedOn w:val="BodyText"/>
    <w:rsid w:val="00A01BAE"/>
    <w:pPr>
      <w:shd w:val="clear" w:color="auto" w:fill="D9D9D9"/>
      <w:tabs>
        <w:tab w:val="left" w:pos="992"/>
      </w:tabs>
      <w:ind w:left="119" w:right="119"/>
    </w:pPr>
    <w:rPr>
      <w:sz w:val="20"/>
    </w:rPr>
  </w:style>
  <w:style w:type="paragraph" w:customStyle="1" w:styleId="MarginIcons">
    <w:name w:val="Margin Icons"/>
    <w:basedOn w:val="BodyText"/>
    <w:rsid w:val="00A01B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1BAE"/>
    <w:rPr>
      <w:rFonts w:ascii="Courier New" w:hAnsi="Courier New"/>
    </w:rPr>
  </w:style>
  <w:style w:type="paragraph" w:customStyle="1" w:styleId="NoteBullet">
    <w:name w:val="Note Bullet"/>
    <w:basedOn w:val="Note"/>
    <w:rsid w:val="00A01BAE"/>
    <w:pPr>
      <w:tabs>
        <w:tab w:val="clear" w:pos="680"/>
      </w:tabs>
      <w:spacing w:before="60" w:after="60"/>
    </w:pPr>
  </w:style>
  <w:style w:type="paragraph" w:customStyle="1" w:styleId="SubHeading2">
    <w:name w:val="SubHeading2"/>
    <w:basedOn w:val="HeadingBase"/>
    <w:rsid w:val="00A01BAE"/>
    <w:pPr>
      <w:spacing w:before="240" w:after="60"/>
    </w:pPr>
    <w:rPr>
      <w:sz w:val="20"/>
    </w:rPr>
  </w:style>
  <w:style w:type="paragraph" w:customStyle="1" w:styleId="SubHeading1">
    <w:name w:val="SubHeading1"/>
    <w:basedOn w:val="HeadingBase"/>
    <w:rsid w:val="00A01BAE"/>
    <w:pPr>
      <w:spacing w:before="240" w:after="60"/>
    </w:pPr>
    <w:rPr>
      <w:color w:val="918585"/>
      <w:sz w:val="22"/>
    </w:rPr>
  </w:style>
  <w:style w:type="paragraph" w:customStyle="1" w:styleId="SideHeading">
    <w:name w:val="Side Heading"/>
    <w:basedOn w:val="HeadingBase"/>
    <w:rsid w:val="00A01B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1BAE"/>
    <w:pPr>
      <w:numPr>
        <w:numId w:val="10"/>
      </w:numPr>
    </w:pPr>
  </w:style>
  <w:style w:type="paragraph" w:styleId="PlainText">
    <w:name w:val="Plain Text"/>
    <w:basedOn w:val="Normal"/>
    <w:link w:val="PlainTextChar"/>
    <w:rsid w:val="00A01BAE"/>
    <w:rPr>
      <w:sz w:val="20"/>
    </w:rPr>
  </w:style>
  <w:style w:type="character" w:customStyle="1" w:styleId="PlainTextChar">
    <w:name w:val="Plain Text Char"/>
    <w:basedOn w:val="DefaultParagraphFont"/>
    <w:link w:val="PlainText"/>
    <w:rsid w:val="00A01BAE"/>
    <w:rPr>
      <w:rFonts w:ascii="Courier New" w:eastAsia="Times New Roman" w:hAnsi="Courier New" w:cs="Times New Roman"/>
      <w:sz w:val="20"/>
      <w:szCs w:val="20"/>
      <w:lang w:eastAsia="en-US"/>
    </w:rPr>
  </w:style>
  <w:style w:type="character" w:customStyle="1" w:styleId="MenuOption">
    <w:name w:val="Menu Option"/>
    <w:basedOn w:val="DefaultParagraphFont"/>
    <w:rsid w:val="00A01BAE"/>
    <w:rPr>
      <w:b/>
      <w:smallCaps/>
    </w:rPr>
  </w:style>
  <w:style w:type="paragraph" w:customStyle="1" w:styleId="TableListNumber">
    <w:name w:val="Table List Number"/>
    <w:basedOn w:val="ListNumber"/>
    <w:rsid w:val="00A01BAE"/>
    <w:pPr>
      <w:numPr>
        <w:numId w:val="0"/>
      </w:numPr>
    </w:pPr>
  </w:style>
  <w:style w:type="paragraph" w:styleId="TOC4">
    <w:name w:val="toc 4"/>
    <w:basedOn w:val="TOCBase"/>
    <w:next w:val="Normal"/>
    <w:semiHidden/>
    <w:rsid w:val="00A01BAE"/>
    <w:pPr>
      <w:tabs>
        <w:tab w:val="right" w:leader="dot" w:pos="9071"/>
      </w:tabs>
      <w:ind w:left="1701"/>
    </w:pPr>
  </w:style>
  <w:style w:type="paragraph" w:customStyle="1" w:styleId="ListAlpha">
    <w:name w:val="List Alpha"/>
    <w:basedOn w:val="List"/>
    <w:rsid w:val="00A01BAE"/>
    <w:pPr>
      <w:numPr>
        <w:numId w:val="8"/>
      </w:numPr>
    </w:pPr>
  </w:style>
  <w:style w:type="paragraph" w:customStyle="1" w:styleId="ListAlpha2">
    <w:name w:val="List Alpha 2"/>
    <w:basedOn w:val="List2"/>
    <w:rsid w:val="00A01BAE"/>
    <w:pPr>
      <w:numPr>
        <w:numId w:val="7"/>
      </w:numPr>
    </w:pPr>
  </w:style>
  <w:style w:type="paragraph" w:styleId="List2">
    <w:name w:val="List 2"/>
    <w:basedOn w:val="BodyText"/>
    <w:rsid w:val="00A01BAE"/>
    <w:pPr>
      <w:tabs>
        <w:tab w:val="left" w:pos="680"/>
      </w:tabs>
      <w:spacing w:before="60" w:after="60"/>
      <w:ind w:left="680" w:hanging="340"/>
    </w:pPr>
  </w:style>
  <w:style w:type="paragraph" w:styleId="List3">
    <w:name w:val="List 3"/>
    <w:basedOn w:val="BodyText"/>
    <w:rsid w:val="00A01BAE"/>
    <w:pPr>
      <w:tabs>
        <w:tab w:val="left" w:pos="1021"/>
      </w:tabs>
      <w:spacing w:before="60" w:after="60"/>
      <w:ind w:left="1020" w:hanging="340"/>
    </w:pPr>
  </w:style>
  <w:style w:type="paragraph" w:styleId="List4">
    <w:name w:val="List 4"/>
    <w:basedOn w:val="BodyText"/>
    <w:rsid w:val="00A01BAE"/>
    <w:pPr>
      <w:tabs>
        <w:tab w:val="left" w:pos="1361"/>
      </w:tabs>
      <w:spacing w:before="60" w:after="60"/>
      <w:ind w:left="1361" w:hanging="340"/>
    </w:pPr>
  </w:style>
  <w:style w:type="paragraph" w:styleId="List5">
    <w:name w:val="List 5"/>
    <w:basedOn w:val="BodyText"/>
    <w:rsid w:val="00A01BAE"/>
    <w:pPr>
      <w:tabs>
        <w:tab w:val="left" w:pos="1701"/>
      </w:tabs>
      <w:spacing w:before="60" w:after="60"/>
      <w:ind w:left="1701" w:hanging="340"/>
    </w:pPr>
  </w:style>
  <w:style w:type="paragraph" w:styleId="ListBullet3">
    <w:name w:val="List Bullet 3"/>
    <w:basedOn w:val="List3"/>
    <w:rsid w:val="00A01BAE"/>
    <w:pPr>
      <w:numPr>
        <w:numId w:val="13"/>
      </w:numPr>
      <w:tabs>
        <w:tab w:val="clear" w:pos="1021"/>
      </w:tabs>
      <w:ind w:left="1037" w:hanging="357"/>
    </w:pPr>
  </w:style>
  <w:style w:type="paragraph" w:styleId="ListBullet4">
    <w:name w:val="List Bullet 4"/>
    <w:basedOn w:val="List4"/>
    <w:rsid w:val="00A01BAE"/>
    <w:pPr>
      <w:numPr>
        <w:numId w:val="2"/>
      </w:numPr>
      <w:tabs>
        <w:tab w:val="clear" w:pos="1361"/>
      </w:tabs>
    </w:pPr>
  </w:style>
  <w:style w:type="paragraph" w:styleId="ListBullet5">
    <w:name w:val="List Bullet 5"/>
    <w:basedOn w:val="List5"/>
    <w:rsid w:val="00A01BAE"/>
    <w:pPr>
      <w:numPr>
        <w:numId w:val="3"/>
      </w:numPr>
    </w:pPr>
  </w:style>
  <w:style w:type="paragraph" w:styleId="ListContinue2">
    <w:name w:val="List Continue 2"/>
    <w:basedOn w:val="List2"/>
    <w:rsid w:val="00A01BAE"/>
    <w:pPr>
      <w:ind w:firstLine="0"/>
    </w:pPr>
  </w:style>
  <w:style w:type="paragraph" w:styleId="ListContinue3">
    <w:name w:val="List Continue 3"/>
    <w:basedOn w:val="List3"/>
    <w:rsid w:val="00A01BAE"/>
    <w:pPr>
      <w:ind w:left="1021" w:firstLine="0"/>
    </w:pPr>
  </w:style>
  <w:style w:type="paragraph" w:styleId="ListContinue4">
    <w:name w:val="List Continue 4"/>
    <w:basedOn w:val="List4"/>
    <w:rsid w:val="00A01BAE"/>
    <w:pPr>
      <w:ind w:firstLine="0"/>
    </w:pPr>
  </w:style>
  <w:style w:type="paragraph" w:styleId="ListContinue5">
    <w:name w:val="List Continue 5"/>
    <w:basedOn w:val="List5"/>
    <w:rsid w:val="00A01BAE"/>
    <w:pPr>
      <w:ind w:firstLine="0"/>
    </w:pPr>
  </w:style>
  <w:style w:type="paragraph" w:styleId="ListNumber3">
    <w:name w:val="List Number 3"/>
    <w:basedOn w:val="List3"/>
    <w:rsid w:val="00A01BAE"/>
    <w:pPr>
      <w:numPr>
        <w:numId w:val="4"/>
      </w:numPr>
    </w:pPr>
  </w:style>
  <w:style w:type="paragraph" w:styleId="ListNumber4">
    <w:name w:val="List Number 4"/>
    <w:basedOn w:val="List4"/>
    <w:rsid w:val="00A01BAE"/>
    <w:pPr>
      <w:numPr>
        <w:numId w:val="5"/>
      </w:numPr>
    </w:pPr>
  </w:style>
  <w:style w:type="paragraph" w:styleId="ListNumber5">
    <w:name w:val="List Number 5"/>
    <w:basedOn w:val="List5"/>
    <w:rsid w:val="00A01BAE"/>
    <w:pPr>
      <w:numPr>
        <w:numId w:val="6"/>
      </w:numPr>
    </w:pPr>
  </w:style>
  <w:style w:type="paragraph" w:styleId="BlockText">
    <w:name w:val="Block Text"/>
    <w:basedOn w:val="Normal"/>
    <w:rsid w:val="00A01BAE"/>
    <w:pPr>
      <w:spacing w:after="120"/>
      <w:ind w:left="1440" w:right="1440"/>
    </w:pPr>
  </w:style>
  <w:style w:type="character" w:customStyle="1" w:styleId="Subscript">
    <w:name w:val="Subscript"/>
    <w:basedOn w:val="DefaultParagraphFont"/>
    <w:rsid w:val="00A01BAE"/>
    <w:rPr>
      <w:sz w:val="16"/>
      <w:vertAlign w:val="subscript"/>
    </w:rPr>
  </w:style>
  <w:style w:type="character" w:customStyle="1" w:styleId="Superscript">
    <w:name w:val="Superscript"/>
    <w:basedOn w:val="DefaultParagraphFont"/>
    <w:rsid w:val="00A01BAE"/>
    <w:rPr>
      <w:sz w:val="16"/>
      <w:vertAlign w:val="superscript"/>
    </w:rPr>
  </w:style>
  <w:style w:type="character" w:customStyle="1" w:styleId="Symbols">
    <w:name w:val="Symbols"/>
    <w:basedOn w:val="DefaultParagraphFont"/>
    <w:rsid w:val="00A01BAE"/>
    <w:rPr>
      <w:rFonts w:ascii="Symbol" w:hAnsi="Symbol"/>
    </w:rPr>
  </w:style>
  <w:style w:type="character" w:customStyle="1" w:styleId="MenuOptions">
    <w:name w:val="Menu Options"/>
    <w:basedOn w:val="DefaultParagraphFont"/>
    <w:rsid w:val="00A01BAE"/>
    <w:rPr>
      <w:rFonts w:ascii="Arial Narrow" w:hAnsi="Arial Narrow"/>
      <w:smallCaps/>
    </w:rPr>
  </w:style>
  <w:style w:type="character" w:customStyle="1" w:styleId="Buttons">
    <w:name w:val="Buttons"/>
    <w:basedOn w:val="DefaultParagraphFont"/>
    <w:rsid w:val="00A01BAE"/>
    <w:rPr>
      <w:b/>
    </w:rPr>
  </w:style>
  <w:style w:type="character" w:customStyle="1" w:styleId="Underlined">
    <w:name w:val="Underlined"/>
    <w:basedOn w:val="DefaultParagraphFont"/>
    <w:rsid w:val="00A01BAE"/>
    <w:rPr>
      <w:u w:val="single"/>
    </w:rPr>
  </w:style>
  <w:style w:type="paragraph" w:customStyle="1" w:styleId="TableBodyTextRight">
    <w:name w:val="Table Body Text Right"/>
    <w:basedOn w:val="TableBodyText"/>
    <w:rsid w:val="00A01BAE"/>
    <w:pPr>
      <w:widowControl w:val="0"/>
      <w:autoSpaceDE w:val="0"/>
      <w:autoSpaceDN w:val="0"/>
      <w:adjustRightInd w:val="0"/>
      <w:jc w:val="right"/>
    </w:pPr>
    <w:rPr>
      <w:rFonts w:cs="Arial"/>
      <w:szCs w:val="18"/>
    </w:rPr>
  </w:style>
  <w:style w:type="paragraph" w:customStyle="1" w:styleId="CopyrightText">
    <w:name w:val="Copyright Text"/>
    <w:basedOn w:val="BodyText"/>
    <w:rsid w:val="00A01BAE"/>
    <w:rPr>
      <w:sz w:val="18"/>
    </w:rPr>
  </w:style>
  <w:style w:type="paragraph" w:customStyle="1" w:styleId="BodySmallRight">
    <w:name w:val="Body Small Right"/>
    <w:basedOn w:val="BodyTextRight"/>
    <w:rsid w:val="00A01BAE"/>
    <w:rPr>
      <w:sz w:val="18"/>
      <w:szCs w:val="18"/>
    </w:rPr>
  </w:style>
  <w:style w:type="paragraph" w:customStyle="1" w:styleId="MarginEdition">
    <w:name w:val="Margin Edition"/>
    <w:basedOn w:val="MarginNote"/>
    <w:rsid w:val="00A01BAE"/>
    <w:pPr>
      <w:spacing w:before="0" w:after="0"/>
    </w:pPr>
    <w:rPr>
      <w:rFonts w:ascii="Times New Roman" w:hAnsi="Times New Roman"/>
      <w:color w:val="999999"/>
    </w:rPr>
  </w:style>
  <w:style w:type="paragraph" w:customStyle="1" w:styleId="Spacer">
    <w:name w:val="Spacer"/>
    <w:basedOn w:val="Normal"/>
    <w:rsid w:val="00A01BAE"/>
    <w:rPr>
      <w:sz w:val="2"/>
      <w:szCs w:val="2"/>
    </w:rPr>
  </w:style>
  <w:style w:type="character" w:customStyle="1" w:styleId="Small">
    <w:name w:val="Small"/>
    <w:basedOn w:val="DefaultParagraphFont"/>
    <w:rsid w:val="00A01BAE"/>
    <w:rPr>
      <w:sz w:val="16"/>
    </w:rPr>
  </w:style>
  <w:style w:type="paragraph" w:customStyle="1" w:styleId="WideTable">
    <w:name w:val="Wide Table"/>
    <w:basedOn w:val="Normal"/>
    <w:rsid w:val="00A01BAE"/>
    <w:pPr>
      <w:ind w:left="-1418"/>
    </w:pPr>
    <w:rPr>
      <w:sz w:val="2"/>
      <w:szCs w:val="2"/>
    </w:rPr>
  </w:style>
  <w:style w:type="character" w:styleId="PageNumber">
    <w:name w:val="page number"/>
    <w:basedOn w:val="DefaultParagraphFont"/>
    <w:rsid w:val="00A01BAE"/>
  </w:style>
  <w:style w:type="paragraph" w:styleId="Quote">
    <w:name w:val="Quote"/>
    <w:basedOn w:val="Heading1"/>
    <w:link w:val="QuoteChar"/>
    <w:qFormat/>
    <w:rsid w:val="00A01BAE"/>
    <w:rPr>
      <w:b w:val="0"/>
      <w:sz w:val="72"/>
      <w:szCs w:val="72"/>
      <w:lang w:val="en-NZ"/>
    </w:rPr>
  </w:style>
  <w:style w:type="character" w:customStyle="1" w:styleId="QuoteChar">
    <w:name w:val="Quote Char"/>
    <w:basedOn w:val="DefaultParagraphFont"/>
    <w:link w:val="Quote"/>
    <w:rsid w:val="00A01B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1BAE"/>
    <w:pPr>
      <w:pageBreakBefore/>
    </w:pPr>
  </w:style>
  <w:style w:type="paragraph" w:customStyle="1" w:styleId="Border">
    <w:name w:val="Border"/>
    <w:basedOn w:val="Normal"/>
    <w:qFormat/>
    <w:rsid w:val="00A01B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1BAE"/>
    <w:rPr>
      <w:b/>
      <w:bCs/>
      <w:i/>
      <w:iCs/>
      <w:color w:val="auto"/>
    </w:rPr>
  </w:style>
  <w:style w:type="paragraph" w:styleId="IntenseQuote">
    <w:name w:val="Intense Quote"/>
    <w:basedOn w:val="Normal"/>
    <w:next w:val="Normal"/>
    <w:link w:val="IntenseQuoteChar"/>
    <w:uiPriority w:val="30"/>
    <w:qFormat/>
    <w:rsid w:val="00A01B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1B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1BAE"/>
    <w:rPr>
      <w:smallCaps/>
      <w:color w:val="auto"/>
      <w:u w:val="single"/>
    </w:rPr>
  </w:style>
  <w:style w:type="character" w:styleId="IntenseReference">
    <w:name w:val="Intense Reference"/>
    <w:basedOn w:val="DefaultParagraphFont"/>
    <w:uiPriority w:val="32"/>
    <w:qFormat/>
    <w:rsid w:val="00A01BAE"/>
    <w:rPr>
      <w:b/>
      <w:bCs/>
      <w:smallCaps/>
      <w:color w:val="auto"/>
      <w:spacing w:val="5"/>
      <w:u w:val="single"/>
    </w:rPr>
  </w:style>
  <w:style w:type="paragraph" w:customStyle="1" w:styleId="2ColumnHeading">
    <w:name w:val="2Column Heading"/>
    <w:basedOn w:val="BodyText"/>
    <w:qFormat/>
    <w:rsid w:val="00A01BAE"/>
    <w:pPr>
      <w:spacing w:after="60"/>
      <w:ind w:left="-2268"/>
    </w:pPr>
    <w:rPr>
      <w:b/>
    </w:rPr>
  </w:style>
  <w:style w:type="paragraph" w:customStyle="1" w:styleId="Heading1TOC">
    <w:name w:val="Heading1 TOC"/>
    <w:basedOn w:val="Normal"/>
    <w:qFormat/>
    <w:rsid w:val="00A01BAE"/>
    <w:pPr>
      <w:spacing w:before="240" w:after="120"/>
    </w:pPr>
    <w:rPr>
      <w:rFonts w:ascii="Times New Roman" w:hAnsi="Times New Roman"/>
      <w:b/>
      <w:sz w:val="32"/>
    </w:rPr>
  </w:style>
  <w:style w:type="paragraph" w:customStyle="1" w:styleId="Heading2TOC">
    <w:name w:val="Heading2 TOC"/>
    <w:basedOn w:val="Normal"/>
    <w:qFormat/>
    <w:rsid w:val="00A01BAE"/>
    <w:pPr>
      <w:spacing w:before="240" w:after="60"/>
    </w:pPr>
    <w:rPr>
      <w:rFonts w:ascii="Times New Roman" w:hAnsi="Times New Roman"/>
      <w:b/>
      <w:sz w:val="28"/>
    </w:rPr>
  </w:style>
  <w:style w:type="character" w:customStyle="1" w:styleId="Underline">
    <w:name w:val="Underline"/>
    <w:basedOn w:val="DefaultParagraphFont"/>
    <w:qFormat/>
    <w:rsid w:val="00A01BAE"/>
    <w:rPr>
      <w:u w:val="single"/>
    </w:rPr>
  </w:style>
  <w:style w:type="character" w:customStyle="1" w:styleId="BoldandItalics">
    <w:name w:val="Bold and Italics"/>
    <w:qFormat/>
    <w:rsid w:val="00A01BAE"/>
    <w:rPr>
      <w:b/>
      <w:i/>
      <w:u w:val="none"/>
    </w:rPr>
  </w:style>
  <w:style w:type="paragraph" w:styleId="BalloonText">
    <w:name w:val="Balloon Text"/>
    <w:basedOn w:val="Normal"/>
    <w:link w:val="BalloonTextChar"/>
    <w:rsid w:val="00A01BAE"/>
    <w:rPr>
      <w:rFonts w:ascii="Tahoma" w:hAnsi="Tahoma" w:cs="Tahoma"/>
      <w:sz w:val="16"/>
      <w:szCs w:val="16"/>
    </w:rPr>
  </w:style>
  <w:style w:type="character" w:customStyle="1" w:styleId="BalloonTextChar">
    <w:name w:val="Balloon Text Char"/>
    <w:basedOn w:val="DefaultParagraphFont"/>
    <w:link w:val="BalloonText"/>
    <w:rsid w:val="00A01B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1B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1B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1BAE"/>
    <w:rPr>
      <w:b/>
      <w:color w:val="660033"/>
      <w:spacing w:val="0"/>
    </w:rPr>
  </w:style>
  <w:style w:type="paragraph" w:customStyle="1" w:styleId="Nameditemlist">
    <w:name w:val="Named item list"/>
    <w:basedOn w:val="BodyText"/>
    <w:qFormat/>
    <w:rsid w:val="00A01BAE"/>
    <w:pPr>
      <w:tabs>
        <w:tab w:val="left" w:pos="2835"/>
      </w:tabs>
      <w:ind w:left="2835" w:hanging="2835"/>
    </w:pPr>
  </w:style>
  <w:style w:type="paragraph" w:customStyle="1" w:styleId="BodyTextnopadding">
    <w:name w:val="Body Text no padding"/>
    <w:basedOn w:val="BodyText"/>
    <w:qFormat/>
    <w:rsid w:val="00A01BAE"/>
    <w:pPr>
      <w:spacing w:before="0" w:after="0"/>
    </w:pPr>
  </w:style>
  <w:style w:type="paragraph" w:customStyle="1" w:styleId="BodyTextBold">
    <w:name w:val="Body Text Bold"/>
    <w:basedOn w:val="BodyText"/>
    <w:qFormat/>
    <w:rsid w:val="00A01BAE"/>
    <w:rPr>
      <w:b/>
    </w:rPr>
  </w:style>
  <w:style w:type="character" w:styleId="Hyperlink">
    <w:name w:val="Hyperlink"/>
    <w:basedOn w:val="DefaultParagraphFont"/>
    <w:uiPriority w:val="99"/>
    <w:unhideWhenUsed/>
    <w:rsid w:val="007608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1784</Words>
  <Characters>11795</Characters>
  <Application>Microsoft Office Word</Application>
  <DocSecurity>0</DocSecurity>
  <Lines>491</Lines>
  <Paragraphs>230</Paragraphs>
  <ScaleCrop>false</ScaleCrop>
  <Company>Author-it Software Corporation Ltd.</Company>
  <LinksUpToDate>false</LinksUpToDate>
  <CharactersWithSpaces>13349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MSS025010 Assist with odour source assessment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2020-07-30T07:24:00Z</dcterms:created>
  <dcterms:modified xsi:type="dcterms:W3CDTF">2020-07-30T07:24:00Z</dcterms:modified>
</cp:coreProperties>
</file>