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483" w:rsidP="00EC7483">
      <w:pPr>
        <w:pStyle w:val="Title"/>
      </w:pPr>
      <w:r>
        <w:fldChar w:fldCharType="begin"/>
      </w:r>
      <w:r>
        <w:instrText xml:space="preserve"> TITLE   \* MERGEFORMAT </w:instrText>
      </w:r>
      <w:r>
        <w:fldChar w:fldCharType="separate"/>
      </w:r>
      <w:r>
        <w:t>MSS025008 Monitor and evaluate noise</w:t>
      </w:r>
      <w:r>
        <w:fldChar w:fldCharType="end"/>
      </w:r>
    </w:p>
    <w:p w:rsidR="00EC7483" w:rsidP="00EC7483">
      <w:pPr>
        <w:pStyle w:val="Version"/>
        <w:sectPr w:rsidSect="00401F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F68" w:rsidP="00401F68">
      <w:pPr>
        <w:pStyle w:val="SuperHeading"/>
      </w:pPr>
      <w:r w:rsidRPr="00401F68">
        <w:t>MSS025008 Monitor and evaluate noise</w:t>
      </w:r>
    </w:p>
    <w:p w:rsidR="00000000" w:rsidRPr="00401F68" w:rsidP="00401F68">
      <w:pPr>
        <w:pStyle w:val="Heading1"/>
      </w:pPr>
      <w:bookmarkStart w:id="1" w:name="O_922393"/>
      <w:bookmarkEnd w:id="1"/>
      <w:r w:rsidRPr="00401F68">
        <w:t>Modification History</w:t>
      </w:r>
    </w:p>
    <w:p w:rsidR="00000000" w:rsidRPr="00401F68" w:rsidP="00EC7483">
      <w:pPr>
        <w:pStyle w:val="BodyText"/>
      </w:pPr>
      <w:r w:rsidRPr="00401F68">
        <w:t>Release 1. Supersedes and is equivalent to MSS025008A Monitor and evaluate noise</w:t>
      </w:r>
    </w:p>
    <w:p w:rsidR="00000000" w:rsidRPr="00401F68" w:rsidP="00401F68">
      <w:pPr>
        <w:pStyle w:val="Heading1"/>
      </w:pPr>
      <w:bookmarkStart w:id="2" w:name="O_922401"/>
      <w:bookmarkEnd w:id="2"/>
      <w:r w:rsidRPr="00401F68">
        <w:t>Application</w:t>
      </w:r>
    </w:p>
    <w:p w:rsidR="00000000" w:rsidRPr="00401F68" w:rsidP="00EC7483">
      <w:pPr>
        <w:pStyle w:val="BodyText"/>
      </w:pPr>
      <w:r w:rsidRPr="00401F68">
        <w:t>This unit of competency covers the ability to monitor noise using handheld sound level meters and fixed noise monitoring stat</w:t>
      </w:r>
      <w:r w:rsidRPr="00401F68">
        <w:t>ions with either data logging or telemetry. It includes the ability to perform noise surveys, process data and report results in accordance with workplace standards.</w:t>
      </w:r>
    </w:p>
    <w:p w:rsidR="00000000" w:rsidRPr="00401F68" w:rsidP="00EC7483">
      <w:pPr>
        <w:pStyle w:val="BodyText"/>
      </w:pPr>
      <w:r w:rsidRPr="00401F68">
        <w:t>This unit of competency is applicable to environmental technicians in a range of industry</w:t>
      </w:r>
      <w:r w:rsidRPr="00401F68">
        <w:t xml:space="preserve"> sectors, such as environmental services (e.g. monitoring of environmental and/or occupational noise); environmental compliance, auditing and inspection; environmental management; and occupational hygiene.</w:t>
      </w:r>
    </w:p>
    <w:p w:rsidR="00000000" w:rsidRPr="00401F68" w:rsidP="00EC7483">
      <w:pPr>
        <w:pStyle w:val="BodyText"/>
      </w:pPr>
      <w:r w:rsidRPr="00401F68">
        <w:t>While no specific licensing or certification requ</w:t>
      </w:r>
      <w:r w:rsidRPr="00401F68">
        <w:t>irements apply to this unit at the time of publication, environmental monitoring and management activities are governed by relevant legislation, regulations and/or external accreditation requirements. Local requirements should be checked.</w:t>
      </w:r>
    </w:p>
    <w:p w:rsidR="00000000" w:rsidRPr="00401F68" w:rsidP="00401F68">
      <w:pPr>
        <w:pStyle w:val="Heading1"/>
      </w:pPr>
      <w:bookmarkStart w:id="3" w:name="O_922400"/>
      <w:bookmarkEnd w:id="3"/>
      <w:r w:rsidRPr="00401F68">
        <w:t>Pre-requisite Unit</w:t>
      </w:r>
    </w:p>
    <w:p w:rsidR="00000000" w:rsidRPr="00401F68" w:rsidP="00EC7483">
      <w:pPr>
        <w:pStyle w:val="BodyText"/>
      </w:pPr>
      <w:r w:rsidRPr="00401F68">
        <w:t>Nil</w:t>
      </w:r>
    </w:p>
    <w:p w:rsidR="00000000" w:rsidRPr="00401F68" w:rsidP="00401F68">
      <w:pPr>
        <w:pStyle w:val="Heading1"/>
      </w:pPr>
      <w:bookmarkStart w:id="4" w:name="O_922399"/>
      <w:bookmarkEnd w:id="4"/>
      <w:r w:rsidRPr="00401F68">
        <w:t>Competency Field</w:t>
      </w:r>
    </w:p>
    <w:p w:rsidR="00000000" w:rsidRPr="00401F68" w:rsidP="00EC7483">
      <w:pPr>
        <w:pStyle w:val="BodyText"/>
      </w:pPr>
      <w:r w:rsidRPr="00401F68">
        <w:t>Monitoring</w:t>
      </w:r>
    </w:p>
    <w:p w:rsidR="00000000" w:rsidRPr="00401F68" w:rsidP="00401F68">
      <w:pPr>
        <w:pStyle w:val="Heading1"/>
      </w:pPr>
      <w:bookmarkStart w:id="5" w:name="O_922398"/>
      <w:bookmarkEnd w:id="5"/>
      <w:r w:rsidRPr="00401F68">
        <w:t>Unit Sector</w:t>
      </w:r>
    </w:p>
    <w:p w:rsidR="00000000" w:rsidRPr="00401F68" w:rsidP="00EC7483">
      <w:pPr>
        <w:pStyle w:val="BodyText"/>
      </w:pPr>
      <w:r w:rsidRPr="00401F68">
        <w:t>Environmental</w:t>
      </w:r>
    </w:p>
    <w:p w:rsidR="00000000" w:rsidRPr="00401F68" w:rsidP="00401F68">
      <w:pPr>
        <w:pStyle w:val="Heading1"/>
      </w:pPr>
      <w:bookmarkStart w:id="6" w:name="O_922397"/>
      <w:bookmarkEnd w:id="6"/>
      <w:r w:rsidRPr="00401F6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01F6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Performance criteria describe the performance neede</w:t>
            </w:r>
            <w:r w:rsidRPr="00401F68">
              <w:t>d to demonstrate achievement of the element.</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1F68" w:rsidP="00401F68">
            <w:pPr>
              <w:pStyle w:val="BodyText"/>
            </w:pPr>
            <w:r w:rsidRPr="00401F68">
              <w:t>1</w:t>
            </w:r>
          </w:p>
        </w:tc>
        <w:tc>
          <w:tcPr>
            <w:tcW w:w="1962" w:type="dxa"/>
            <w:vMerge w:val="restart"/>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rPr>
                <w:rStyle w:val="SpecialBold"/>
              </w:rPr>
              <w:t xml:space="preserve">Confirm noise monitoring </w:t>
            </w:r>
            <w:r w:rsidRPr="00401F68">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1.1</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Confirm the purpose for noise monitoring with supervisor.</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1.2</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Confirm locations, timing and frequency of monitoring from workplace or client’</w:t>
            </w:r>
            <w:r w:rsidRPr="00401F68">
              <w:t>s monitoring plan or other instructions.</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1.3</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Check that all noise measurement procedures are in accordance with client or workplace requirements, relevant standards and codes.</w:t>
            </w:r>
          </w:p>
        </w:tc>
      </w:tr>
      <w:tr w:rsidTr="00401F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1F68">
            <w:pPr>
              <w:pStyle w:val="BodyText"/>
              <w:rPr>
                <w:lang w:val="en-NZ"/>
              </w:rPr>
            </w:pP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1F68" w:rsidP="00401F68">
            <w:pPr>
              <w:pStyle w:val="BodyText"/>
            </w:pPr>
            <w:r w:rsidRPr="00401F68">
              <w:t>2</w:t>
            </w:r>
          </w:p>
        </w:tc>
        <w:tc>
          <w:tcPr>
            <w:tcW w:w="1962" w:type="dxa"/>
            <w:vMerge w:val="restart"/>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rPr>
                <w:rStyle w:val="SpecialBold"/>
              </w:rPr>
              <w:t>Prepare for noise measurement</w:t>
            </w: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2.1</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Identify site hazards and review workplace safety procedures.</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2.2</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Liaise with relevant personnel to arrange site access and obtain all clearances and/or permits, as necessary.</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2.3</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Select noise monitoring instruments and any ancillary equipment that are required for the particular task.</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2.4</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Assemble all field test equipment and complete all pre-use and calibration checks in accordance with workplace procedures and manufacturer ins</w:t>
            </w:r>
            <w:r w:rsidRPr="00401F68">
              <w:t>tructions.</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2.5</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Stow all equipment for safe and secure transport.</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2.6</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Arrange suitable transport to, from and around site, as required.</w:t>
            </w:r>
          </w:p>
        </w:tc>
      </w:tr>
      <w:tr w:rsidTr="00401F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1F68">
            <w:pPr>
              <w:pStyle w:val="BodyText"/>
              <w:rPr>
                <w:lang w:val="en-NZ"/>
              </w:rPr>
            </w:pP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1F68" w:rsidP="00401F68">
            <w:pPr>
              <w:pStyle w:val="BodyText"/>
            </w:pPr>
            <w:r w:rsidRPr="00401F68">
              <w:t>3</w:t>
            </w:r>
          </w:p>
        </w:tc>
        <w:tc>
          <w:tcPr>
            <w:tcW w:w="1962" w:type="dxa"/>
            <w:vMerge w:val="restart"/>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rPr>
                <w:rStyle w:val="SpecialBold"/>
              </w:rPr>
              <w:t>Perform noise measurement</w:t>
            </w: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3.1</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Record significant site features, such as noise sources, their direction and approximate distance, relevant barriers, structures, noise sensitive areas and adjacent land uses.</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3.2</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Select and record sampling sites and ensure that site conditions are cond</w:t>
            </w:r>
            <w:r w:rsidRPr="00401F68">
              <w:t>ucive for valid and reliable noise measurement.</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3.3</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Measure and record relevant site condition parameters and make any modifications to procedures, as appropriate.</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3.4</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Check calibration of sound level meter, make any required adjustments and record r</w:t>
            </w:r>
            <w:r w:rsidRPr="00401F68">
              <w:t>esults.</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3.5</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Conduct noise measurements in accordance with workplace, regulatory and manufacturer procedures.</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3.6</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Ensure that background measurements are obtained at an appropriate time, under appropriate conditions and in accordance with workplace/regulatory procedures.</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3.7</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Repeat and record calibration measurements at the conclusion of the measurement sequence in</w:t>
            </w:r>
            <w:r w:rsidRPr="00401F68">
              <w:t xml:space="preserve"> accordance with workplace/regulatory procedures.</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3.8</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Collect and/or record all results and ensure that they are accurately transferred to workplace information database.</w:t>
            </w:r>
          </w:p>
        </w:tc>
      </w:tr>
      <w:tr w:rsidTr="00401F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1F68">
            <w:pPr>
              <w:pStyle w:val="BodyText"/>
              <w:rPr>
                <w:lang w:val="en-NZ"/>
              </w:rPr>
            </w:pP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1F68" w:rsidP="00401F68">
            <w:pPr>
              <w:pStyle w:val="BodyText"/>
            </w:pPr>
            <w:r w:rsidRPr="00401F68">
              <w:t>4</w:t>
            </w:r>
          </w:p>
        </w:tc>
        <w:tc>
          <w:tcPr>
            <w:tcW w:w="1962" w:type="dxa"/>
            <w:vMerge w:val="restart"/>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rPr>
                <w:rStyle w:val="SpecialBold"/>
              </w:rPr>
              <w:t>Process and interpret noise data</w:t>
            </w: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4.1</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Review test data noting atypical observations.</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4.2</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Manipulate raw data to obtain corrected and adjusted data and ensure that calculated values are consistent with expectations.</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4.3</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Estimate and document uncertainty of measurement in accordance with workplace procedures, if required.</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4.4</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Interpret trends in data and/or results and report out-of-specification or atypical results promptly to appropriate personnel.</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4.5</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Determine if</w:t>
            </w:r>
            <w:r w:rsidRPr="00401F68">
              <w:t xml:space="preserve"> obvious procedure or equipment problems have led to atypical data or results.</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4.6</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Compare results with established noise standards, statutory noise limits or similar, if relevant.</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4.7</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Record and report data and results in accordance with workplace requirement.</w:t>
            </w:r>
          </w:p>
        </w:tc>
      </w:tr>
      <w:tr w:rsidTr="00401F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1F68">
            <w:pPr>
              <w:pStyle w:val="BodyText"/>
              <w:rPr>
                <w:lang w:val="en-NZ"/>
              </w:rPr>
            </w:pP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1F68" w:rsidP="00401F68">
            <w:pPr>
              <w:pStyle w:val="BodyText"/>
            </w:pPr>
            <w:r w:rsidRPr="00401F68">
              <w:t>5</w:t>
            </w:r>
          </w:p>
        </w:tc>
        <w:tc>
          <w:tcPr>
            <w:tcW w:w="1962" w:type="dxa"/>
            <w:vMerge w:val="restart"/>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5.1</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Use established safe work practices and personal protective equipment (PPE) to ensure personal safety and that of other personnel.</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5.2</w:t>
            </w:r>
          </w:p>
        </w:tc>
        <w:tc>
          <w:tcPr>
            <w:tcW w:w="561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Minimise the generation of wastes and environmental impacts.</w:t>
            </w:r>
          </w:p>
        </w:tc>
      </w:tr>
      <w:tr w:rsidTr="00401F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5.3</w:t>
            </w:r>
          </w:p>
        </w:tc>
        <w:tc>
          <w:tcPr>
            <w:tcW w:w="5610" w:type="dxa"/>
            <w:tcBorders>
              <w:top w:val="nil"/>
              <w:left w:val="nil"/>
              <w:bottom w:val="nil"/>
              <w:right w:val="nil"/>
            </w:tcBorders>
            <w:tcMar>
              <w:top w:w="0" w:type="dxa"/>
              <w:left w:w="62" w:type="dxa"/>
              <w:bottom w:w="0" w:type="dxa"/>
              <w:right w:w="62" w:type="dxa"/>
            </w:tcMar>
          </w:tcPr>
          <w:p w:rsidR="00000000" w:rsidRPr="00401F68" w:rsidP="00401F68">
            <w:pPr>
              <w:pStyle w:val="BodyText"/>
            </w:pPr>
            <w:r w:rsidRPr="00401F68">
              <w:t>Care for and store equipment and materials as required.</w:t>
            </w:r>
          </w:p>
        </w:tc>
      </w:tr>
    </w:tbl>
    <w:p w:rsidR="00000000" w:rsidRPr="00401F68" w:rsidP="00401F68">
      <w:pPr>
        <w:pStyle w:val="BodyText"/>
      </w:pPr>
    </w:p>
    <w:p w:rsidR="00000000" w:rsidRPr="00401F68" w:rsidP="00401F68">
      <w:pPr>
        <w:pStyle w:val="AllowPageBreak"/>
      </w:pPr>
    </w:p>
    <w:p w:rsidR="00000000" w:rsidRPr="00401F68" w:rsidP="00401F68">
      <w:pPr>
        <w:pStyle w:val="Heading1"/>
      </w:pPr>
      <w:bookmarkStart w:id="7" w:name="O_922396"/>
      <w:bookmarkEnd w:id="7"/>
      <w:r w:rsidRPr="00401F68">
        <w:t>Foundation Skills</w:t>
      </w:r>
    </w:p>
    <w:p w:rsidR="00000000" w:rsidRPr="00401F68" w:rsidP="00EC7483">
      <w:pPr>
        <w:pStyle w:val="BodyText"/>
      </w:pPr>
      <w:r w:rsidRPr="00401F68">
        <w:t>This section describes those required skills (language, literacy and numeracy) that are ess</w:t>
      </w:r>
      <w:r w:rsidRPr="00401F68">
        <w:t>ential to performance.</w:t>
      </w:r>
    </w:p>
    <w:p w:rsidR="00000000" w:rsidRPr="00401F68" w:rsidP="00EC7483">
      <w:pPr>
        <w:pStyle w:val="BodyText"/>
      </w:pPr>
      <w:r w:rsidRPr="00401F68">
        <w:t>Foundation skills essential to performance are explicit in the performance criteria of this unit of competency.</w:t>
      </w:r>
    </w:p>
    <w:p w:rsidR="00000000" w:rsidRPr="00401F68" w:rsidP="00401F68">
      <w:pPr>
        <w:pStyle w:val="Heading1"/>
      </w:pPr>
      <w:bookmarkStart w:id="8" w:name="O_922395"/>
      <w:bookmarkEnd w:id="8"/>
      <w:r w:rsidRPr="00401F68">
        <w:t>Range of Conditions</w:t>
      </w:r>
    </w:p>
    <w:tbl>
      <w:tblPr>
        <w:tblW w:w="0" w:type="auto"/>
        <w:tblLayout w:type="fixed"/>
        <w:tblCellMar>
          <w:left w:w="62" w:type="dxa"/>
          <w:right w:w="62" w:type="dxa"/>
        </w:tblCellMar>
        <w:tblLook w:val="0000"/>
      </w:tblPr>
      <w:tblGrid>
        <w:gridCol w:w="2439"/>
        <w:gridCol w:w="6633"/>
      </w:tblGrid>
      <w:tr w:rsidTr="00401F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t>This field allows for different work environments and conditions that may affect performance. Essential operating conditions that may be present (depending on the work situation, needs of the candidate, accessibility of the item, and local industry and reg</w:t>
            </w:r>
            <w:r w:rsidRPr="00401F68">
              <w:t>ional contexts) are included.</w:t>
            </w:r>
          </w:p>
        </w:tc>
      </w:tr>
      <w:tr w:rsidTr="00401F68">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rPr>
                <w:rStyle w:val="SpecialBold"/>
              </w:rPr>
              <w:t>Legislation, regulations, standards, codes, workplace procedures and requirements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401F68" w:rsidP="00401F68">
            <w:pPr>
              <w:pStyle w:val="ListBullet"/>
            </w:pPr>
            <w:r w:rsidRPr="00401F68">
              <w:t>federal legislation such as the Environment Protection and Biodiversity Conservation Act, Natio</w:t>
            </w:r>
            <w:r w:rsidRPr="00401F68">
              <w:t>nal Environmental Protection Measures</w:t>
            </w:r>
          </w:p>
          <w:p w:rsidR="00000000" w:rsidRPr="00401F68" w:rsidP="00401F68">
            <w:pPr>
              <w:pStyle w:val="ListBullet"/>
            </w:pPr>
            <w:r w:rsidRPr="00401F68">
              <w:t>state/territory government legislation and local government by-laws, policies, regulations and plans dealing with land use, acquisition, planning and protection, and environmental protection</w:t>
            </w:r>
          </w:p>
          <w:p w:rsidR="00000000" w:rsidRPr="00401F68" w:rsidP="00401F68">
            <w:pPr>
              <w:pStyle w:val="ListBullet"/>
            </w:pPr>
            <w:r w:rsidRPr="00401F68">
              <w:t xml:space="preserve">legislation, standards and </w:t>
            </w:r>
            <w:r w:rsidRPr="00401F68">
              <w:t>codes of practice for work health and safety (WHS)</w:t>
            </w:r>
          </w:p>
          <w:p w:rsidR="00000000" w:rsidRPr="00401F68" w:rsidP="00401F68">
            <w:pPr>
              <w:pStyle w:val="ListBullet"/>
            </w:pPr>
            <w:r w:rsidRPr="00401F68">
              <w:t xml:space="preserve">Australian and international standards covering environmental noise (e.g. AS 1055 Acoustics - Description and measurement of environmental noise series); and sound level meters and sound calibrators (e.g. </w:t>
            </w:r>
            <w:r w:rsidRPr="00401F68">
              <w:t>AS IEC 61672 Electroacoustics series, AS IEC 60942-2004 Electroacoustics - Sound calibrators)</w:t>
            </w:r>
          </w:p>
          <w:p w:rsidR="00000000" w:rsidRPr="00401F68" w:rsidP="00401F68">
            <w:pPr>
              <w:pStyle w:val="ListBullet"/>
            </w:pPr>
            <w:r w:rsidRPr="00401F68">
              <w:t>registration/licensing and/or accreditation requirements</w:t>
            </w:r>
          </w:p>
          <w:p w:rsidR="00000000" w:rsidRPr="00401F68" w:rsidP="00401F68">
            <w:pPr>
              <w:pStyle w:val="ListBullet"/>
            </w:pPr>
            <w:r w:rsidRPr="00401F68">
              <w:t>industry guidelines and manuals, such as Noise Measurement Manual (QLD EPA), A Guide to Measurement and A</w:t>
            </w:r>
            <w:r w:rsidRPr="00401F68">
              <w:t>nalysis of Noise (VIC EPA), Noise Guide for Local Government (NSW), established noise standards and statutory noise limits</w:t>
            </w:r>
          </w:p>
          <w:p w:rsidR="00000000" w:rsidRPr="00401F68" w:rsidP="00401F68">
            <w:pPr>
              <w:pStyle w:val="ListBullet"/>
            </w:pPr>
            <w:r w:rsidRPr="00401F68">
              <w:t>site plans, maps and specifications; methods and procedures for noise measurement to meet workplace, client and/or regulatory/certify</w:t>
            </w:r>
            <w:r w:rsidRPr="00401F68">
              <w:t>ing body requirements</w:t>
            </w:r>
          </w:p>
          <w:p w:rsidR="00000000" w:rsidRPr="00401F68" w:rsidP="00401F68">
            <w:pPr>
              <w:pStyle w:val="ListBullet"/>
            </w:pPr>
            <w:r w:rsidRPr="00401F68">
              <w:t>workplace documents, such as standard operating procedures (SOPs), work schedules, recording and reporting procedures, equipment manuals and warranties, supplier catalogue and handbooks, field notebooks or log books, and emergency and safety procedures.</w:t>
            </w:r>
          </w:p>
          <w:p w:rsidR="00000000" w:rsidP="00401F68">
            <w:pPr>
              <w:pStyle w:val="BodyText"/>
              <w:rPr>
                <w:lang w:val="en-NZ"/>
              </w:rPr>
            </w:pPr>
          </w:p>
        </w:tc>
      </w:tr>
      <w:tr w:rsidTr="00401F68">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rPr>
                <w:rStyle w:val="SpecialBold"/>
              </w:rPr>
              <w:t>Purpose of noise measurement includes one or more of:</w:t>
            </w:r>
          </w:p>
        </w:tc>
        <w:tc>
          <w:tcPr>
            <w:tcW w:w="6633" w:type="dxa"/>
            <w:tcBorders>
              <w:top w:val="nil"/>
              <w:left w:val="nil"/>
              <w:bottom w:val="nil"/>
              <w:right w:val="nil"/>
            </w:tcBorders>
            <w:tcMar>
              <w:top w:w="0" w:type="dxa"/>
              <w:left w:w="62" w:type="dxa"/>
              <w:bottom w:w="0" w:type="dxa"/>
              <w:right w:w="62" w:type="dxa"/>
            </w:tcMar>
          </w:tcPr>
          <w:p w:rsidR="00000000" w:rsidRPr="00401F68" w:rsidP="00401F68">
            <w:pPr>
              <w:pStyle w:val="ListBullet"/>
            </w:pPr>
            <w:r w:rsidRPr="00401F68">
              <w:t>assessing compliance with a statutory condition, such as a licence</w:t>
            </w:r>
          </w:p>
          <w:p w:rsidR="00000000" w:rsidRPr="00401F68" w:rsidP="00401F68">
            <w:pPr>
              <w:pStyle w:val="ListBullet"/>
            </w:pPr>
            <w:r w:rsidRPr="00401F68">
              <w:t>investigation of a noise complaint</w:t>
            </w:r>
          </w:p>
          <w:p w:rsidR="00000000" w:rsidRPr="00401F68" w:rsidP="00401F68">
            <w:pPr>
              <w:pStyle w:val="ListBullet"/>
            </w:pPr>
            <w:r w:rsidRPr="00401F68">
              <w:t>environmental impact assessment studies</w:t>
            </w:r>
          </w:p>
          <w:p w:rsidR="00000000" w:rsidRPr="00401F68" w:rsidP="00401F68">
            <w:pPr>
              <w:pStyle w:val="ListBullet"/>
            </w:pPr>
            <w:r w:rsidRPr="00401F68">
              <w:t>long-term monitoring programs</w:t>
            </w:r>
          </w:p>
          <w:p w:rsidR="00000000" w:rsidRPr="00401F68" w:rsidP="00401F68">
            <w:pPr>
              <w:pStyle w:val="ListBullet"/>
            </w:pPr>
            <w:r w:rsidRPr="00401F68">
              <w:t>occupational hygiene</w:t>
            </w:r>
          </w:p>
          <w:p w:rsidR="00000000" w:rsidRPr="00401F68" w:rsidP="00401F68">
            <w:pPr>
              <w:pStyle w:val="ListBullet"/>
            </w:pPr>
            <w:r w:rsidRPr="00401F68">
              <w:t>noise su</w:t>
            </w:r>
            <w:r w:rsidRPr="00401F68">
              <w:t>rveys.</w:t>
            </w:r>
          </w:p>
          <w:p w:rsidR="00000000" w:rsidP="00401F68">
            <w:pPr>
              <w:pStyle w:val="BodyText"/>
              <w:rPr>
                <w:lang w:val="en-NZ"/>
              </w:rPr>
            </w:pPr>
          </w:p>
        </w:tc>
      </w:tr>
      <w:tr w:rsidTr="00401F68">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rPr>
                <w:rStyle w:val="SpecialBold"/>
              </w:rPr>
              <w:t>Noise monitoring instruments and ancillary equipment include one or more of:</w:t>
            </w:r>
          </w:p>
        </w:tc>
        <w:tc>
          <w:tcPr>
            <w:tcW w:w="6633" w:type="dxa"/>
            <w:tcBorders>
              <w:top w:val="nil"/>
              <w:left w:val="nil"/>
              <w:bottom w:val="nil"/>
              <w:right w:val="nil"/>
            </w:tcBorders>
            <w:tcMar>
              <w:top w:w="0" w:type="dxa"/>
              <w:left w:w="62" w:type="dxa"/>
              <w:bottom w:w="0" w:type="dxa"/>
              <w:right w:w="62" w:type="dxa"/>
            </w:tcMar>
          </w:tcPr>
          <w:p w:rsidR="00000000" w:rsidRPr="00401F68" w:rsidP="00401F68">
            <w:pPr>
              <w:pStyle w:val="ListBullet"/>
            </w:pPr>
            <w:r w:rsidRPr="00401F68">
              <w:t>type 1 and type 2 portable sound level meters</w:t>
            </w:r>
          </w:p>
          <w:p w:rsidR="00000000" w:rsidRPr="00401F68" w:rsidP="00401F68">
            <w:pPr>
              <w:pStyle w:val="ListBullet"/>
            </w:pPr>
            <w:r w:rsidRPr="00401F68">
              <w:t>integrating and non-integrating sound level meters</w:t>
            </w:r>
          </w:p>
          <w:p w:rsidR="00000000" w:rsidRPr="00401F68" w:rsidP="00401F68">
            <w:pPr>
              <w:pStyle w:val="ListBullet"/>
            </w:pPr>
            <w:r w:rsidRPr="00401F68">
              <w:t>noise dose meters</w:t>
            </w:r>
          </w:p>
          <w:p w:rsidR="00000000" w:rsidRPr="00401F68" w:rsidP="00401F68">
            <w:pPr>
              <w:pStyle w:val="ListBullet"/>
            </w:pPr>
            <w:r w:rsidRPr="00401F68">
              <w:t>sound level calibrators</w:t>
            </w:r>
          </w:p>
          <w:p w:rsidR="00000000" w:rsidRPr="00401F68" w:rsidP="00401F68">
            <w:pPr>
              <w:pStyle w:val="ListBullet"/>
            </w:pPr>
            <w:r w:rsidRPr="00401F68">
              <w:t>octave analysers</w:t>
            </w:r>
          </w:p>
          <w:p w:rsidR="00000000" w:rsidRPr="00401F68" w:rsidP="00401F68">
            <w:pPr>
              <w:pStyle w:val="ListBullet"/>
            </w:pPr>
            <w:r w:rsidRPr="00401F68">
              <w:t>statistical analysers, data loggers and recorders</w:t>
            </w:r>
          </w:p>
          <w:p w:rsidR="00000000" w:rsidRPr="00401F68" w:rsidP="00401F68">
            <w:pPr>
              <w:pStyle w:val="ListBullet"/>
            </w:pPr>
            <w:r w:rsidRPr="00401F68">
              <w:t>telemetry equipment</w:t>
            </w:r>
          </w:p>
          <w:p w:rsidR="00000000" w:rsidRPr="00401F68" w:rsidP="00401F68">
            <w:pPr>
              <w:pStyle w:val="ListBullet"/>
            </w:pPr>
            <w:r w:rsidRPr="00401F68">
              <w:t>sound monitoring stations</w:t>
            </w:r>
          </w:p>
          <w:p w:rsidR="00000000" w:rsidRPr="00401F68" w:rsidP="00401F68">
            <w:pPr>
              <w:pStyle w:val="ListBullet"/>
            </w:pPr>
            <w:r w:rsidRPr="00401F68">
              <w:t>microphones</w:t>
            </w:r>
          </w:p>
          <w:p w:rsidR="00000000" w:rsidRPr="00401F68" w:rsidP="00401F68">
            <w:pPr>
              <w:pStyle w:val="ListBullet"/>
            </w:pPr>
            <w:r w:rsidRPr="00401F68">
              <w:t>wind shields.</w:t>
            </w:r>
          </w:p>
          <w:p w:rsidR="00000000" w:rsidP="00401F68">
            <w:pPr>
              <w:pStyle w:val="BodyText"/>
              <w:rPr>
                <w:lang w:val="en-NZ"/>
              </w:rPr>
            </w:pPr>
          </w:p>
        </w:tc>
      </w:tr>
      <w:tr w:rsidTr="00401F68">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rPr>
                <w:rStyle w:val="SpecialBold"/>
              </w:rPr>
              <w:t>Ancillary equipment includes one or more of:</w:t>
            </w:r>
          </w:p>
        </w:tc>
        <w:tc>
          <w:tcPr>
            <w:tcW w:w="6633" w:type="dxa"/>
            <w:tcBorders>
              <w:top w:val="nil"/>
              <w:left w:val="nil"/>
              <w:bottom w:val="nil"/>
              <w:right w:val="nil"/>
            </w:tcBorders>
            <w:tcMar>
              <w:top w:w="0" w:type="dxa"/>
              <w:left w:w="62" w:type="dxa"/>
              <w:bottom w:w="0" w:type="dxa"/>
              <w:right w:w="62" w:type="dxa"/>
            </w:tcMar>
          </w:tcPr>
          <w:p w:rsidR="00000000" w:rsidRPr="00401F68" w:rsidP="00401F68">
            <w:pPr>
              <w:pStyle w:val="ListBullet"/>
            </w:pPr>
            <w:r w:rsidRPr="00401F68">
              <w:t>meteorological instruments, such as thermometers, hygrometers, barometers and anemomet</w:t>
            </w:r>
            <w:r w:rsidRPr="00401F68">
              <w:t>ers</w:t>
            </w:r>
          </w:p>
          <w:p w:rsidR="00000000" w:rsidRPr="00401F68" w:rsidP="00401F68">
            <w:pPr>
              <w:pStyle w:val="ListBullet"/>
            </w:pPr>
            <w:r w:rsidRPr="00401F68">
              <w:t>digital camera</w:t>
            </w:r>
          </w:p>
          <w:p w:rsidR="00000000" w:rsidRPr="00401F68" w:rsidP="00401F68">
            <w:pPr>
              <w:pStyle w:val="ListBullet"/>
            </w:pPr>
            <w:r w:rsidRPr="00401F68">
              <w:t>global positioning system (GPS) equipment</w:t>
            </w:r>
          </w:p>
          <w:p w:rsidR="00000000" w:rsidRPr="00401F68" w:rsidP="00401F68">
            <w:pPr>
              <w:pStyle w:val="ListBullet"/>
            </w:pPr>
            <w:r w:rsidRPr="00401F68">
              <w:t>maps and aerial photographs</w:t>
            </w:r>
          </w:p>
          <w:p w:rsidR="00000000" w:rsidRPr="00401F68" w:rsidP="00401F68">
            <w:pPr>
              <w:pStyle w:val="ListBullet"/>
            </w:pPr>
            <w:r w:rsidRPr="00401F68">
              <w:t>noise measurement and survey forms</w:t>
            </w:r>
          </w:p>
          <w:p w:rsidR="00000000" w:rsidRPr="00401F68" w:rsidP="00401F68">
            <w:pPr>
              <w:pStyle w:val="ListBullet"/>
            </w:pPr>
            <w:r w:rsidRPr="00401F68">
              <w:t>PPE</w:t>
            </w:r>
          </w:p>
          <w:p w:rsidR="00000000" w:rsidP="00401F68">
            <w:pPr>
              <w:pStyle w:val="BodyText"/>
              <w:rPr>
                <w:lang w:val="en-NZ"/>
              </w:rPr>
            </w:pPr>
          </w:p>
        </w:tc>
      </w:tr>
      <w:tr w:rsidTr="00401F68">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rPr>
                <w:rStyle w:val="SpecialBold"/>
              </w:rPr>
              <w:t>Meteorological measurements include one or more of:</w:t>
            </w:r>
          </w:p>
        </w:tc>
        <w:tc>
          <w:tcPr>
            <w:tcW w:w="6633" w:type="dxa"/>
            <w:tcBorders>
              <w:top w:val="nil"/>
              <w:left w:val="nil"/>
              <w:bottom w:val="nil"/>
              <w:right w:val="nil"/>
            </w:tcBorders>
            <w:tcMar>
              <w:top w:w="0" w:type="dxa"/>
              <w:left w:w="62" w:type="dxa"/>
              <w:bottom w:w="0" w:type="dxa"/>
              <w:right w:w="62" w:type="dxa"/>
            </w:tcMar>
          </w:tcPr>
          <w:p w:rsidR="00000000" w:rsidRPr="00401F68" w:rsidP="00401F68">
            <w:pPr>
              <w:pStyle w:val="ListBullet"/>
            </w:pPr>
            <w:r w:rsidRPr="00401F68">
              <w:t>temperature</w:t>
            </w:r>
          </w:p>
          <w:p w:rsidR="00000000" w:rsidRPr="00401F68" w:rsidP="00401F68">
            <w:pPr>
              <w:pStyle w:val="ListBullet"/>
            </w:pPr>
            <w:r w:rsidRPr="00401F68">
              <w:t>relative humidity</w:t>
            </w:r>
          </w:p>
          <w:p w:rsidR="00000000" w:rsidRPr="00401F68" w:rsidP="00401F68">
            <w:pPr>
              <w:pStyle w:val="ListBullet"/>
            </w:pPr>
            <w:r w:rsidRPr="00401F68">
              <w:t>barometric pressure</w:t>
            </w:r>
          </w:p>
          <w:p w:rsidR="00000000" w:rsidRPr="00401F68" w:rsidP="00401F68">
            <w:pPr>
              <w:pStyle w:val="ListBullet"/>
            </w:pPr>
            <w:r w:rsidRPr="00401F68">
              <w:t>wind speed and direction</w:t>
            </w:r>
          </w:p>
          <w:p w:rsidR="00000000" w:rsidP="00401F68">
            <w:pPr>
              <w:pStyle w:val="BodyText"/>
              <w:rPr>
                <w:lang w:val="en-NZ"/>
              </w:rPr>
            </w:pPr>
          </w:p>
        </w:tc>
      </w:tr>
      <w:tr w:rsidTr="00401F68">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01F68">
            <w:pPr>
              <w:pStyle w:val="BodyText"/>
              <w:rPr>
                <w:lang w:val="en-NZ"/>
              </w:rPr>
            </w:pPr>
            <w:r w:rsidRPr="00401F68">
              <w:rPr>
                <w:rStyle w:val="SpecialBold"/>
              </w:rPr>
              <w:t>WHS and environmental 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401F68" w:rsidP="00401F68">
            <w:pPr>
              <w:pStyle w:val="ListBullet"/>
            </w:pPr>
            <w:r w:rsidRPr="00401F68">
              <w:t>compliance with relevant federal/state/territory WHS legislation at all times</w:t>
            </w:r>
          </w:p>
          <w:p w:rsidR="00000000" w:rsidRPr="00401F68" w:rsidP="00401F68">
            <w:pPr>
              <w:pStyle w:val="ListBullet"/>
            </w:pPr>
            <w:r w:rsidRPr="00401F68">
              <w:t>assuming that samples are potentially hazardous and applying standard precautions</w:t>
            </w:r>
          </w:p>
          <w:p w:rsidR="00000000" w:rsidRPr="00401F68" w:rsidP="00401F68">
            <w:pPr>
              <w:pStyle w:val="ListBullet"/>
            </w:pPr>
            <w:r w:rsidRPr="00401F68">
              <w:t>accessing and</w:t>
            </w:r>
            <w:r w:rsidRPr="00401F68">
              <w:t xml:space="preserve"> applying current industry understanding of infection control issued by the National Health and Medical Research Council (NHMRC) and state/territory Departments of Health, where relevant.</w:t>
            </w:r>
          </w:p>
          <w:p w:rsidR="00000000" w:rsidRPr="00401F68" w:rsidP="00401F68">
            <w:pPr>
              <w:pStyle w:val="BodyText"/>
            </w:pPr>
          </w:p>
        </w:tc>
      </w:tr>
    </w:tbl>
    <w:p w:rsidR="00000000" w:rsidRPr="00401F68" w:rsidP="00401F68">
      <w:pPr>
        <w:pStyle w:val="BodyText"/>
      </w:pPr>
    </w:p>
    <w:p w:rsidR="00000000" w:rsidRPr="00401F68" w:rsidP="00401F68">
      <w:pPr>
        <w:pStyle w:val="AllowPageBreak"/>
      </w:pPr>
    </w:p>
    <w:p w:rsidR="00000000" w:rsidRPr="00401F68" w:rsidP="00401F68">
      <w:pPr>
        <w:pStyle w:val="Heading1"/>
      </w:pPr>
      <w:bookmarkStart w:id="9" w:name="O_922394"/>
      <w:bookmarkEnd w:id="9"/>
      <w:r w:rsidRPr="00401F68">
        <w:t>Unit Mapping Information</w:t>
      </w:r>
    </w:p>
    <w:p w:rsidR="00000000" w:rsidRPr="00401F68" w:rsidP="00EC7483">
      <w:pPr>
        <w:pStyle w:val="BodyText"/>
      </w:pPr>
      <w:r w:rsidRPr="00401F68">
        <w:t>Release 1. Supersedes and is equivalent to MSS025008A Monitor and evaluate noise</w:t>
      </w:r>
    </w:p>
    <w:p w:rsidR="00000000" w:rsidRPr="00401F68" w:rsidP="00401F68">
      <w:pPr>
        <w:pStyle w:val="Heading1"/>
      </w:pPr>
      <w:bookmarkStart w:id="10" w:name="O_922387"/>
      <w:bookmarkEnd w:id="10"/>
      <w:r w:rsidRPr="00401F68">
        <w:t>Links</w:t>
      </w:r>
    </w:p>
    <w:p w:rsidR="00000000" w:rsidRPr="00401F68" w:rsidP="00EC7483">
      <w:pPr>
        <w:pStyle w:val="BodyText"/>
      </w:pPr>
      <w:r w:rsidRPr="00401F6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C3C55">
        <w:rPr>
          <w:rStyle w:val="Hyperlink"/>
        </w:rPr>
        <w:t>https://vetnet.gov.au/Pages/TrainingDocs.aspx?q=5b04f318-804f-4dc0-9463-c3fb9a3fe998</w:t>
      </w:r>
      <w:r>
        <w:fldChar w:fldCharType="end"/>
      </w:r>
    </w:p>
    <w:p w:rsidR="00000000" w:rsidRPr="00401F68" w:rsidP="00401F68"/>
    <w:sectPr w:rsidSect="00401F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F68" w:rsidRPr="00EC7483" w:rsidP="00EC74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83" w:rsidP="00401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7483" w:rsidP="00401F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7483" w:rsidP="00401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1F68" w:rsidRPr="00EC7483" w:rsidP="00EC74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83" w:rsidRPr="002D2AF8" w:rsidP="00401F68">
    <w:pPr>
      <w:pStyle w:val="Header"/>
      <w:framePr w:wrap="around"/>
    </w:pPr>
    <w:r>
      <w:fldChar w:fldCharType="begin"/>
    </w:r>
    <w:r>
      <w:instrText xml:space="preserve"> TITLE   \* MERGEFORMAT </w:instrText>
    </w:r>
    <w:r>
      <w:fldChar w:fldCharType="separate"/>
    </w:r>
    <w:r>
      <w:t>MSS025008 Monitor and evaluate noise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EC7483" w:rsidP="00401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3E2A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84F9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F68"/>
    <w:pPr>
      <w:spacing w:before="360" w:after="60"/>
      <w:outlineLvl w:val="0"/>
    </w:pPr>
    <w:rPr>
      <w:sz w:val="32"/>
    </w:rPr>
  </w:style>
  <w:style w:type="paragraph" w:styleId="Heading2">
    <w:name w:val="heading 2"/>
    <w:basedOn w:val="HeadingBase"/>
    <w:next w:val="BodyText"/>
    <w:link w:val="Heading2Char"/>
    <w:qFormat/>
    <w:rsid w:val="00401F68"/>
    <w:pPr>
      <w:keepLines/>
      <w:spacing w:before="240" w:after="120"/>
      <w:outlineLvl w:val="1"/>
    </w:pPr>
    <w:rPr>
      <w:sz w:val="28"/>
      <w:szCs w:val="40"/>
    </w:rPr>
  </w:style>
  <w:style w:type="paragraph" w:styleId="Heading3">
    <w:name w:val="heading 3"/>
    <w:basedOn w:val="HeadingBase"/>
    <w:next w:val="BodyText"/>
    <w:link w:val="Heading3Char"/>
    <w:qFormat/>
    <w:rsid w:val="00401F68"/>
    <w:pPr>
      <w:spacing w:before="180" w:after="120"/>
      <w:outlineLvl w:val="2"/>
    </w:pPr>
    <w:rPr>
      <w:spacing w:val="-10"/>
      <w:kern w:val="32"/>
    </w:rPr>
  </w:style>
  <w:style w:type="paragraph" w:styleId="Heading4">
    <w:name w:val="heading 4"/>
    <w:basedOn w:val="HeadingBase"/>
    <w:next w:val="BodyText"/>
    <w:link w:val="Heading4Char"/>
    <w:qFormat/>
    <w:rsid w:val="00401F68"/>
    <w:pPr>
      <w:spacing w:before="160" w:after="120"/>
      <w:outlineLvl w:val="3"/>
    </w:pPr>
    <w:rPr>
      <w:sz w:val="22"/>
    </w:rPr>
  </w:style>
  <w:style w:type="paragraph" w:styleId="Heading5">
    <w:name w:val="heading 5"/>
    <w:basedOn w:val="HeadingBase"/>
    <w:next w:val="Normal"/>
    <w:link w:val="Heading5Char"/>
    <w:qFormat/>
    <w:rsid w:val="00401F68"/>
    <w:pPr>
      <w:spacing w:before="80"/>
      <w:outlineLvl w:val="4"/>
    </w:pPr>
    <w:rPr>
      <w:color w:val="918585"/>
      <w:sz w:val="20"/>
    </w:rPr>
  </w:style>
  <w:style w:type="paragraph" w:styleId="Heading6">
    <w:name w:val="heading 6"/>
    <w:basedOn w:val="HeadingBase"/>
    <w:next w:val="Normal"/>
    <w:link w:val="Heading6Char"/>
    <w:qFormat/>
    <w:rsid w:val="00401F68"/>
    <w:pPr>
      <w:spacing w:before="60"/>
      <w:outlineLvl w:val="5"/>
    </w:pPr>
    <w:rPr>
      <w:color w:val="918585"/>
      <w:sz w:val="20"/>
    </w:rPr>
  </w:style>
  <w:style w:type="paragraph" w:styleId="Heading7">
    <w:name w:val="heading 7"/>
    <w:basedOn w:val="Normal"/>
    <w:next w:val="Normal"/>
    <w:link w:val="Heading7Char"/>
    <w:qFormat/>
    <w:rsid w:val="00401F68"/>
    <w:pPr>
      <w:ind w:left="720"/>
      <w:outlineLvl w:val="6"/>
    </w:pPr>
    <w:rPr>
      <w:i/>
    </w:rPr>
  </w:style>
  <w:style w:type="paragraph" w:styleId="Heading8">
    <w:name w:val="heading 8"/>
    <w:basedOn w:val="Normal"/>
    <w:next w:val="Normal"/>
    <w:link w:val="Heading8Char"/>
    <w:qFormat/>
    <w:rsid w:val="00401F68"/>
    <w:pPr>
      <w:ind w:left="720"/>
      <w:outlineLvl w:val="7"/>
    </w:pPr>
    <w:rPr>
      <w:i/>
    </w:rPr>
  </w:style>
  <w:style w:type="paragraph" w:styleId="Heading9">
    <w:name w:val="heading 9"/>
    <w:basedOn w:val="Normal"/>
    <w:next w:val="Normal"/>
    <w:link w:val="Heading9Char"/>
    <w:qFormat/>
    <w:rsid w:val="00401F68"/>
    <w:pPr>
      <w:ind w:left="720"/>
      <w:outlineLvl w:val="8"/>
    </w:pPr>
    <w:rPr>
      <w:i/>
    </w:rPr>
  </w:style>
  <w:style w:type="character" w:default="1" w:styleId="DefaultParagraphFont">
    <w:name w:val="Default Paragraph Font"/>
    <w:uiPriority w:val="1"/>
    <w:unhideWhenUsed/>
    <w:rsid w:val="00401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F68"/>
  </w:style>
  <w:style w:type="character" w:customStyle="1" w:styleId="Heading1Char">
    <w:name w:val="Heading 1 Char"/>
    <w:basedOn w:val="DefaultParagraphFont"/>
    <w:link w:val="Heading1"/>
    <w:rsid w:val="00401F68"/>
    <w:rPr>
      <w:rFonts w:ascii="Times New Roman" w:eastAsia="Times New Roman" w:hAnsi="Times New Roman" w:cs="Times New Roman"/>
      <w:b/>
      <w:sz w:val="32"/>
      <w:szCs w:val="20"/>
      <w:lang w:eastAsia="en-US"/>
    </w:rPr>
  </w:style>
  <w:style w:type="paragraph" w:styleId="BodyText">
    <w:name w:val="Body Text"/>
    <w:basedOn w:val="Normal"/>
    <w:link w:val="BodyTextChar"/>
    <w:rsid w:val="00401F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1F68"/>
    <w:rPr>
      <w:rFonts w:ascii="Times New Roman" w:eastAsia="Times New Roman" w:hAnsi="Times New Roman" w:cs="Times New Roman"/>
      <w:sz w:val="24"/>
      <w:lang w:eastAsia="en-US"/>
    </w:rPr>
  </w:style>
  <w:style w:type="paragraph" w:styleId="ListBullet">
    <w:name w:val="List Bullet"/>
    <w:basedOn w:val="List"/>
    <w:rsid w:val="00401F68"/>
    <w:pPr>
      <w:numPr>
        <w:numId w:val="11"/>
      </w:numPr>
      <w:tabs>
        <w:tab w:val="clear" w:pos="340"/>
      </w:tabs>
      <w:spacing w:before="40" w:after="40"/>
    </w:pPr>
  </w:style>
  <w:style w:type="character" w:customStyle="1" w:styleId="SpecialBold">
    <w:name w:val="Special Bold"/>
    <w:basedOn w:val="DefaultParagraphFont"/>
    <w:rsid w:val="00401F68"/>
    <w:rPr>
      <w:b/>
      <w:spacing w:val="0"/>
    </w:rPr>
  </w:style>
  <w:style w:type="paragraph" w:customStyle="1" w:styleId="SuperHeading">
    <w:name w:val="SuperHeading"/>
    <w:basedOn w:val="Normal"/>
    <w:rsid w:val="00401F68"/>
    <w:pPr>
      <w:spacing w:before="240" w:after="120"/>
      <w:outlineLvl w:val="0"/>
    </w:pPr>
    <w:rPr>
      <w:rFonts w:ascii="Times New Roman" w:hAnsi="Times New Roman"/>
      <w:b/>
      <w:sz w:val="32"/>
    </w:rPr>
  </w:style>
  <w:style w:type="paragraph" w:customStyle="1" w:styleId="AllowPageBreak">
    <w:name w:val="AllowPageBreak"/>
    <w:rsid w:val="00401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1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F68"/>
    <w:rPr>
      <w:rFonts w:ascii="Courier New" w:eastAsia="Times New Roman" w:hAnsi="Courier New" w:cs="Times New Roman"/>
      <w:i/>
      <w:szCs w:val="20"/>
      <w:lang w:eastAsia="en-US"/>
    </w:rPr>
  </w:style>
  <w:style w:type="paragraph" w:customStyle="1" w:styleId="HeadingBase">
    <w:name w:val="Heading Base"/>
    <w:rsid w:val="00401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F68"/>
    <w:pPr>
      <w:tabs>
        <w:tab w:val="right" w:leader="dot" w:pos="9072"/>
      </w:tabs>
      <w:ind w:left="567"/>
    </w:pPr>
    <w:rPr>
      <w:szCs w:val="22"/>
    </w:rPr>
  </w:style>
  <w:style w:type="paragraph" w:customStyle="1" w:styleId="TOCBase">
    <w:name w:val="TOC Base"/>
    <w:rsid w:val="00401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F68"/>
    <w:pPr>
      <w:tabs>
        <w:tab w:val="right" w:leader="dot" w:pos="9072"/>
      </w:tabs>
      <w:spacing w:before="40" w:after="40"/>
      <w:ind w:left="284"/>
    </w:pPr>
    <w:rPr>
      <w:rFonts w:ascii="Times New Roman" w:hAnsi="Times New Roman"/>
    </w:rPr>
  </w:style>
  <w:style w:type="paragraph" w:styleId="TOC1">
    <w:name w:val="toc 1"/>
    <w:basedOn w:val="TOCBase"/>
    <w:next w:val="Normal"/>
    <w:rsid w:val="00401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F68"/>
    <w:rPr>
      <w:rFonts w:ascii="Times New Roman" w:eastAsia="Times New Roman" w:hAnsi="Times New Roman" w:cs="Times New Roman"/>
      <w:sz w:val="16"/>
      <w:lang w:eastAsia="en-US"/>
    </w:rPr>
  </w:style>
  <w:style w:type="paragraph" w:styleId="Title">
    <w:name w:val="Title"/>
    <w:basedOn w:val="HeadingBase"/>
    <w:link w:val="TitleChar"/>
    <w:qFormat/>
    <w:rsid w:val="00401F68"/>
    <w:pPr>
      <w:spacing w:before="5040"/>
      <w:jc w:val="center"/>
    </w:pPr>
    <w:rPr>
      <w:sz w:val="48"/>
      <w:szCs w:val="72"/>
      <w:lang w:val="en-US"/>
    </w:rPr>
  </w:style>
  <w:style w:type="character" w:customStyle="1" w:styleId="TitleChar">
    <w:name w:val="Title Char"/>
    <w:basedOn w:val="DefaultParagraphFont"/>
    <w:link w:val="Title"/>
    <w:rsid w:val="00401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F68"/>
    <w:pPr>
      <w:tabs>
        <w:tab w:val="left" w:pos="3600"/>
        <w:tab w:val="left" w:pos="3958"/>
      </w:tabs>
    </w:pPr>
  </w:style>
  <w:style w:type="paragraph" w:styleId="List">
    <w:name w:val="List"/>
    <w:basedOn w:val="BodyText"/>
    <w:next w:val="BodyText"/>
    <w:rsid w:val="00401F68"/>
    <w:pPr>
      <w:tabs>
        <w:tab w:val="left" w:pos="340"/>
      </w:tabs>
      <w:spacing w:before="60" w:after="60"/>
      <w:ind w:left="340" w:hanging="340"/>
    </w:pPr>
  </w:style>
  <w:style w:type="paragraph" w:customStyle="1" w:styleId="Note">
    <w:name w:val="Note"/>
    <w:basedOn w:val="BodyText"/>
    <w:rsid w:val="00401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F68"/>
    <w:pPr>
      <w:framePr w:wrap="auto" w:hAnchor="text" w:y="6049"/>
    </w:pPr>
    <w:rPr>
      <w:color w:val="000000"/>
      <w:sz w:val="40"/>
    </w:rPr>
  </w:style>
  <w:style w:type="paragraph" w:customStyle="1" w:styleId="TOCTitle">
    <w:name w:val="TOCTitle"/>
    <w:basedOn w:val="Heading1"/>
    <w:rsid w:val="00401F68"/>
    <w:pPr>
      <w:spacing w:after="240"/>
      <w:jc w:val="center"/>
      <w:outlineLvl w:val="9"/>
    </w:pPr>
    <w:rPr>
      <w:caps/>
    </w:rPr>
  </w:style>
  <w:style w:type="paragraph" w:customStyle="1" w:styleId="Version">
    <w:name w:val="Version"/>
    <w:rsid w:val="00401F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1F68"/>
    <w:pPr>
      <w:numPr>
        <w:numId w:val="12"/>
      </w:numPr>
      <w:tabs>
        <w:tab w:val="clear" w:pos="680"/>
      </w:tabs>
    </w:pPr>
  </w:style>
  <w:style w:type="paragraph" w:styleId="Index1">
    <w:name w:val="index 1"/>
    <w:basedOn w:val="Normal"/>
    <w:next w:val="Normal"/>
    <w:semiHidden/>
    <w:rsid w:val="00401F68"/>
    <w:pPr>
      <w:keepNext w:val="0"/>
      <w:tabs>
        <w:tab w:val="right" w:pos="4176"/>
      </w:tabs>
      <w:ind w:left="198" w:hanging="198"/>
    </w:pPr>
    <w:rPr>
      <w:rFonts w:ascii="Garamond" w:hAnsi="Garamond"/>
    </w:rPr>
  </w:style>
  <w:style w:type="paragraph" w:styleId="IndexHeading">
    <w:name w:val="index heading"/>
    <w:basedOn w:val="Normal"/>
    <w:next w:val="Index1"/>
    <w:semiHidden/>
    <w:rsid w:val="00401F68"/>
    <w:pPr>
      <w:spacing w:before="120" w:after="120"/>
    </w:pPr>
    <w:rPr>
      <w:rFonts w:ascii="Arial" w:hAnsi="Arial"/>
      <w:b/>
      <w:color w:val="918585"/>
      <w:sz w:val="24"/>
    </w:rPr>
  </w:style>
  <w:style w:type="paragraph" w:styleId="Header">
    <w:name w:val="header"/>
    <w:basedOn w:val="Normal"/>
    <w:link w:val="HeaderChar"/>
    <w:rsid w:val="00401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F68"/>
    <w:rPr>
      <w:rFonts w:ascii="Times New Roman" w:eastAsia="Times New Roman" w:hAnsi="Times New Roman" w:cs="Times New Roman"/>
      <w:sz w:val="16"/>
      <w:szCs w:val="20"/>
      <w:lang w:val="en-GB" w:eastAsia="en-US"/>
    </w:rPr>
  </w:style>
  <w:style w:type="paragraph" w:customStyle="1" w:styleId="Chapter">
    <w:name w:val="Chapter"/>
    <w:basedOn w:val="Normal"/>
    <w:rsid w:val="00401F68"/>
    <w:pPr>
      <w:spacing w:before="240"/>
    </w:pPr>
    <w:rPr>
      <w:rFonts w:ascii="Times New Roman" w:hAnsi="Times New Roman"/>
      <w:smallCaps/>
      <w:spacing w:val="80"/>
      <w:sz w:val="28"/>
    </w:rPr>
  </w:style>
  <w:style w:type="paragraph" w:customStyle="1" w:styleId="InChapter">
    <w:name w:val="InChapter"/>
    <w:basedOn w:val="Heading3"/>
    <w:rsid w:val="00401F68"/>
    <w:pPr>
      <w:spacing w:after="240"/>
      <w:outlineLvl w:val="9"/>
    </w:pPr>
    <w:rPr>
      <w:noProof/>
    </w:rPr>
  </w:style>
  <w:style w:type="paragraph" w:styleId="Index2">
    <w:name w:val="index 2"/>
    <w:basedOn w:val="Normal"/>
    <w:next w:val="Normal"/>
    <w:semiHidden/>
    <w:rsid w:val="00401F68"/>
    <w:pPr>
      <w:tabs>
        <w:tab w:val="right" w:pos="4176"/>
      </w:tabs>
      <w:ind w:left="568" w:hanging="284"/>
    </w:pPr>
    <w:rPr>
      <w:rFonts w:ascii="Garamond" w:hAnsi="Garamond"/>
    </w:rPr>
  </w:style>
  <w:style w:type="paragraph" w:customStyle="1" w:styleId="Byline">
    <w:name w:val="Byline"/>
    <w:rsid w:val="00401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F68"/>
    <w:pPr>
      <w:tabs>
        <w:tab w:val="clear" w:pos="3600"/>
        <w:tab w:val="clear" w:pos="3958"/>
      </w:tabs>
      <w:jc w:val="right"/>
    </w:pPr>
  </w:style>
  <w:style w:type="character" w:styleId="Emphasis">
    <w:name w:val="Emphasis"/>
    <w:basedOn w:val="DefaultParagraphFont"/>
    <w:qFormat/>
    <w:rsid w:val="00401F68"/>
    <w:rPr>
      <w:i/>
    </w:rPr>
  </w:style>
  <w:style w:type="paragraph" w:styleId="Caption">
    <w:name w:val="caption"/>
    <w:basedOn w:val="BodyText"/>
    <w:next w:val="Normal"/>
    <w:qFormat/>
    <w:rsid w:val="00401F68"/>
    <w:pPr>
      <w:framePr w:w="2268" w:hSpace="181" w:vSpace="181" w:wrap="around" w:vAnchor="text" w:hAnchor="page" w:x="1135" w:y="285" w:anchorLock="1"/>
    </w:pPr>
    <w:rPr>
      <w:i/>
    </w:rPr>
  </w:style>
  <w:style w:type="paragraph" w:customStyle="1" w:styleId="MiniTOCTitle">
    <w:name w:val="MiniTOCTitle"/>
    <w:basedOn w:val="Heading4"/>
    <w:rsid w:val="00401F68"/>
    <w:pPr>
      <w:spacing w:before="240"/>
      <w:outlineLvl w:val="9"/>
    </w:pPr>
    <w:rPr>
      <w:noProof/>
      <w:sz w:val="24"/>
    </w:rPr>
  </w:style>
  <w:style w:type="paragraph" w:customStyle="1" w:styleId="MiniTOCItem">
    <w:name w:val="MiniTOCItem"/>
    <w:basedOn w:val="ListBullet"/>
    <w:rsid w:val="00401F68"/>
    <w:pPr>
      <w:numPr>
        <w:numId w:val="0"/>
      </w:numPr>
      <w:tabs>
        <w:tab w:val="right" w:leader="dot" w:pos="6521"/>
      </w:tabs>
      <w:spacing w:before="0" w:after="0"/>
    </w:pPr>
  </w:style>
  <w:style w:type="paragraph" w:customStyle="1" w:styleId="TOFTitle">
    <w:name w:val="TOFTitle"/>
    <w:basedOn w:val="TOCTitle"/>
    <w:rsid w:val="00401F68"/>
  </w:style>
  <w:style w:type="paragraph" w:styleId="TableofFigures">
    <w:name w:val="table of figures"/>
    <w:basedOn w:val="Normal"/>
    <w:next w:val="Normal"/>
    <w:semiHidden/>
    <w:rsid w:val="00401F68"/>
    <w:pPr>
      <w:tabs>
        <w:tab w:val="right" w:leader="dot" w:pos="9072"/>
      </w:tabs>
      <w:ind w:left="970" w:hanging="403"/>
    </w:pPr>
    <w:rPr>
      <w:rFonts w:ascii="Times New Roman" w:hAnsi="Times New Roman"/>
      <w:b/>
    </w:rPr>
  </w:style>
  <w:style w:type="paragraph" w:styleId="ListNumber">
    <w:name w:val="List Number"/>
    <w:basedOn w:val="List"/>
    <w:rsid w:val="00401F68"/>
    <w:pPr>
      <w:numPr>
        <w:numId w:val="14"/>
      </w:numPr>
      <w:tabs>
        <w:tab w:val="clear" w:pos="340"/>
      </w:tabs>
    </w:pPr>
  </w:style>
  <w:style w:type="character" w:customStyle="1" w:styleId="WingdingSymbols">
    <w:name w:val="Wingding Symbols"/>
    <w:rsid w:val="00401F68"/>
    <w:rPr>
      <w:rFonts w:ascii="Wingdings" w:hAnsi="Wingdings"/>
    </w:rPr>
  </w:style>
  <w:style w:type="paragraph" w:customStyle="1" w:styleId="TableHeading">
    <w:name w:val="Table Heading"/>
    <w:basedOn w:val="HeadingBase"/>
    <w:rsid w:val="00401F68"/>
    <w:pPr>
      <w:keepLines/>
      <w:pBdr>
        <w:bottom w:val="single" w:sz="6" w:space="1" w:color="918585"/>
      </w:pBdr>
      <w:spacing w:before="240"/>
    </w:pPr>
  </w:style>
  <w:style w:type="character" w:customStyle="1" w:styleId="HotSpot">
    <w:name w:val="HotSpot"/>
    <w:rsid w:val="00401F68"/>
    <w:rPr>
      <w:color w:val="0033CC"/>
      <w:u w:val="none"/>
    </w:rPr>
  </w:style>
  <w:style w:type="paragraph" w:customStyle="1" w:styleId="BodyTextRight">
    <w:name w:val="Body Text Right"/>
    <w:basedOn w:val="BodyText"/>
    <w:rsid w:val="00401F68"/>
    <w:pPr>
      <w:spacing w:before="0" w:after="0"/>
      <w:jc w:val="right"/>
    </w:pPr>
  </w:style>
  <w:style w:type="paragraph" w:styleId="Index3">
    <w:name w:val="index 3"/>
    <w:basedOn w:val="ListNumber2"/>
    <w:next w:val="Normal"/>
    <w:semiHidden/>
    <w:rsid w:val="00401F68"/>
    <w:pPr>
      <w:numPr>
        <w:numId w:val="0"/>
      </w:numPr>
      <w:tabs>
        <w:tab w:val="right" w:leader="dot" w:pos="4176"/>
      </w:tabs>
    </w:pPr>
  </w:style>
  <w:style w:type="paragraph" w:styleId="ListNumber2">
    <w:name w:val="List Number 2"/>
    <w:basedOn w:val="List2"/>
    <w:rsid w:val="00401F68"/>
    <w:pPr>
      <w:numPr>
        <w:numId w:val="9"/>
      </w:numPr>
      <w:tabs>
        <w:tab w:val="clear" w:pos="1060"/>
      </w:tabs>
    </w:pPr>
  </w:style>
  <w:style w:type="paragraph" w:customStyle="1" w:styleId="MarginNote">
    <w:name w:val="Margin Note"/>
    <w:basedOn w:val="BodyText"/>
    <w:rsid w:val="00401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F68"/>
    <w:rPr>
      <w:sz w:val="32"/>
    </w:rPr>
  </w:style>
  <w:style w:type="paragraph" w:customStyle="1" w:styleId="HeadingProcedure">
    <w:name w:val="Heading Procedure"/>
    <w:basedOn w:val="HeadingBase"/>
    <w:next w:val="Normal"/>
    <w:rsid w:val="00401F68"/>
    <w:pPr>
      <w:tabs>
        <w:tab w:val="left" w:pos="0"/>
      </w:tabs>
      <w:spacing w:before="120" w:after="60"/>
    </w:pPr>
    <w:rPr>
      <w:i/>
      <w:color w:val="918585"/>
      <w:sz w:val="22"/>
    </w:rPr>
  </w:style>
  <w:style w:type="paragraph" w:customStyle="1" w:styleId="TableBodyText">
    <w:name w:val="Table Body Text"/>
    <w:basedOn w:val="BodyText"/>
    <w:rsid w:val="00401F68"/>
    <w:pPr>
      <w:spacing w:before="60" w:after="60"/>
    </w:pPr>
  </w:style>
  <w:style w:type="paragraph" w:styleId="ListContinue">
    <w:name w:val="List Continue"/>
    <w:basedOn w:val="List"/>
    <w:rsid w:val="00401F68"/>
    <w:pPr>
      <w:ind w:firstLine="0"/>
    </w:pPr>
  </w:style>
  <w:style w:type="paragraph" w:customStyle="1" w:styleId="ListNote">
    <w:name w:val="List Note"/>
    <w:basedOn w:val="List"/>
    <w:rsid w:val="00401F68"/>
    <w:pPr>
      <w:pBdr>
        <w:top w:val="single" w:sz="6" w:space="2" w:color="918585"/>
        <w:bottom w:val="single" w:sz="6" w:space="2" w:color="918585"/>
      </w:pBdr>
      <w:tabs>
        <w:tab w:val="left" w:pos="1021"/>
      </w:tabs>
      <w:ind w:firstLine="0"/>
    </w:pPr>
  </w:style>
  <w:style w:type="paragraph" w:customStyle="1" w:styleId="Warning">
    <w:name w:val="Warning"/>
    <w:basedOn w:val="BodyText"/>
    <w:rsid w:val="00401F68"/>
    <w:pPr>
      <w:shd w:val="clear" w:color="auto" w:fill="D9D9D9"/>
      <w:tabs>
        <w:tab w:val="left" w:pos="992"/>
      </w:tabs>
      <w:ind w:left="119" w:right="119"/>
    </w:pPr>
    <w:rPr>
      <w:sz w:val="20"/>
    </w:rPr>
  </w:style>
  <w:style w:type="paragraph" w:customStyle="1" w:styleId="MarginIcons">
    <w:name w:val="Margin Icons"/>
    <w:basedOn w:val="BodyText"/>
    <w:rsid w:val="00401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F68"/>
    <w:rPr>
      <w:rFonts w:ascii="Courier New" w:hAnsi="Courier New"/>
    </w:rPr>
  </w:style>
  <w:style w:type="paragraph" w:customStyle="1" w:styleId="NoteBullet">
    <w:name w:val="Note Bullet"/>
    <w:basedOn w:val="Note"/>
    <w:rsid w:val="00401F68"/>
    <w:pPr>
      <w:tabs>
        <w:tab w:val="clear" w:pos="680"/>
      </w:tabs>
      <w:spacing w:before="60" w:after="60"/>
    </w:pPr>
  </w:style>
  <w:style w:type="paragraph" w:customStyle="1" w:styleId="SubHeading2">
    <w:name w:val="SubHeading2"/>
    <w:basedOn w:val="HeadingBase"/>
    <w:rsid w:val="00401F68"/>
    <w:pPr>
      <w:spacing w:before="240" w:after="60"/>
    </w:pPr>
    <w:rPr>
      <w:sz w:val="20"/>
    </w:rPr>
  </w:style>
  <w:style w:type="paragraph" w:customStyle="1" w:styleId="SubHeading1">
    <w:name w:val="SubHeading1"/>
    <w:basedOn w:val="HeadingBase"/>
    <w:rsid w:val="00401F68"/>
    <w:pPr>
      <w:spacing w:before="240" w:after="60"/>
    </w:pPr>
    <w:rPr>
      <w:color w:val="918585"/>
      <w:sz w:val="22"/>
    </w:rPr>
  </w:style>
  <w:style w:type="paragraph" w:customStyle="1" w:styleId="SideHeading">
    <w:name w:val="Side Heading"/>
    <w:basedOn w:val="HeadingBase"/>
    <w:rsid w:val="00401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F68"/>
    <w:pPr>
      <w:numPr>
        <w:numId w:val="10"/>
      </w:numPr>
    </w:pPr>
  </w:style>
  <w:style w:type="paragraph" w:styleId="PlainText">
    <w:name w:val="Plain Text"/>
    <w:basedOn w:val="Normal"/>
    <w:link w:val="PlainTextChar"/>
    <w:rsid w:val="00401F68"/>
    <w:rPr>
      <w:sz w:val="20"/>
    </w:rPr>
  </w:style>
  <w:style w:type="character" w:customStyle="1" w:styleId="PlainTextChar">
    <w:name w:val="Plain Text Char"/>
    <w:basedOn w:val="DefaultParagraphFont"/>
    <w:link w:val="PlainText"/>
    <w:rsid w:val="00401F68"/>
    <w:rPr>
      <w:rFonts w:ascii="Courier New" w:eastAsia="Times New Roman" w:hAnsi="Courier New" w:cs="Times New Roman"/>
      <w:sz w:val="20"/>
      <w:szCs w:val="20"/>
      <w:lang w:eastAsia="en-US"/>
    </w:rPr>
  </w:style>
  <w:style w:type="character" w:customStyle="1" w:styleId="MenuOption">
    <w:name w:val="Menu Option"/>
    <w:basedOn w:val="DefaultParagraphFont"/>
    <w:rsid w:val="00401F68"/>
    <w:rPr>
      <w:b/>
      <w:smallCaps/>
    </w:rPr>
  </w:style>
  <w:style w:type="paragraph" w:customStyle="1" w:styleId="TableListNumber">
    <w:name w:val="Table List Number"/>
    <w:basedOn w:val="ListNumber"/>
    <w:rsid w:val="00401F68"/>
    <w:pPr>
      <w:numPr>
        <w:numId w:val="0"/>
      </w:numPr>
    </w:pPr>
  </w:style>
  <w:style w:type="paragraph" w:styleId="TOC4">
    <w:name w:val="toc 4"/>
    <w:basedOn w:val="TOCBase"/>
    <w:next w:val="Normal"/>
    <w:semiHidden/>
    <w:rsid w:val="00401F68"/>
    <w:pPr>
      <w:tabs>
        <w:tab w:val="right" w:leader="dot" w:pos="9071"/>
      </w:tabs>
      <w:ind w:left="1701"/>
    </w:pPr>
  </w:style>
  <w:style w:type="paragraph" w:customStyle="1" w:styleId="ListAlpha">
    <w:name w:val="List Alpha"/>
    <w:basedOn w:val="List"/>
    <w:rsid w:val="00401F68"/>
    <w:pPr>
      <w:numPr>
        <w:numId w:val="8"/>
      </w:numPr>
    </w:pPr>
  </w:style>
  <w:style w:type="paragraph" w:customStyle="1" w:styleId="ListAlpha2">
    <w:name w:val="List Alpha 2"/>
    <w:basedOn w:val="List2"/>
    <w:rsid w:val="00401F68"/>
    <w:pPr>
      <w:numPr>
        <w:numId w:val="7"/>
      </w:numPr>
    </w:pPr>
  </w:style>
  <w:style w:type="paragraph" w:styleId="List2">
    <w:name w:val="List 2"/>
    <w:basedOn w:val="BodyText"/>
    <w:rsid w:val="00401F68"/>
    <w:pPr>
      <w:tabs>
        <w:tab w:val="left" w:pos="680"/>
      </w:tabs>
      <w:spacing w:before="60" w:after="60"/>
      <w:ind w:left="680" w:hanging="340"/>
    </w:pPr>
  </w:style>
  <w:style w:type="paragraph" w:styleId="List3">
    <w:name w:val="List 3"/>
    <w:basedOn w:val="BodyText"/>
    <w:rsid w:val="00401F68"/>
    <w:pPr>
      <w:tabs>
        <w:tab w:val="left" w:pos="1021"/>
      </w:tabs>
      <w:spacing w:before="60" w:after="60"/>
      <w:ind w:left="1020" w:hanging="340"/>
    </w:pPr>
  </w:style>
  <w:style w:type="paragraph" w:styleId="List4">
    <w:name w:val="List 4"/>
    <w:basedOn w:val="BodyText"/>
    <w:rsid w:val="00401F68"/>
    <w:pPr>
      <w:tabs>
        <w:tab w:val="left" w:pos="1361"/>
      </w:tabs>
      <w:spacing w:before="60" w:after="60"/>
      <w:ind w:left="1361" w:hanging="340"/>
    </w:pPr>
  </w:style>
  <w:style w:type="paragraph" w:styleId="List5">
    <w:name w:val="List 5"/>
    <w:basedOn w:val="BodyText"/>
    <w:rsid w:val="00401F68"/>
    <w:pPr>
      <w:tabs>
        <w:tab w:val="left" w:pos="1701"/>
      </w:tabs>
      <w:spacing w:before="60" w:after="60"/>
      <w:ind w:left="1701" w:hanging="340"/>
    </w:pPr>
  </w:style>
  <w:style w:type="paragraph" w:styleId="ListBullet3">
    <w:name w:val="List Bullet 3"/>
    <w:basedOn w:val="List3"/>
    <w:rsid w:val="00401F68"/>
    <w:pPr>
      <w:numPr>
        <w:numId w:val="13"/>
      </w:numPr>
      <w:tabs>
        <w:tab w:val="clear" w:pos="1021"/>
      </w:tabs>
      <w:ind w:left="1037" w:hanging="357"/>
    </w:pPr>
  </w:style>
  <w:style w:type="paragraph" w:styleId="ListBullet4">
    <w:name w:val="List Bullet 4"/>
    <w:basedOn w:val="List4"/>
    <w:rsid w:val="00401F68"/>
    <w:pPr>
      <w:numPr>
        <w:numId w:val="2"/>
      </w:numPr>
      <w:tabs>
        <w:tab w:val="clear" w:pos="1361"/>
      </w:tabs>
    </w:pPr>
  </w:style>
  <w:style w:type="paragraph" w:styleId="ListBullet5">
    <w:name w:val="List Bullet 5"/>
    <w:basedOn w:val="List5"/>
    <w:rsid w:val="00401F68"/>
    <w:pPr>
      <w:numPr>
        <w:numId w:val="3"/>
      </w:numPr>
    </w:pPr>
  </w:style>
  <w:style w:type="paragraph" w:styleId="ListContinue2">
    <w:name w:val="List Continue 2"/>
    <w:basedOn w:val="List2"/>
    <w:rsid w:val="00401F68"/>
    <w:pPr>
      <w:ind w:firstLine="0"/>
    </w:pPr>
  </w:style>
  <w:style w:type="paragraph" w:styleId="ListContinue3">
    <w:name w:val="List Continue 3"/>
    <w:basedOn w:val="List3"/>
    <w:rsid w:val="00401F68"/>
    <w:pPr>
      <w:ind w:left="1021" w:firstLine="0"/>
    </w:pPr>
  </w:style>
  <w:style w:type="paragraph" w:styleId="ListContinue4">
    <w:name w:val="List Continue 4"/>
    <w:basedOn w:val="List4"/>
    <w:rsid w:val="00401F68"/>
    <w:pPr>
      <w:ind w:firstLine="0"/>
    </w:pPr>
  </w:style>
  <w:style w:type="paragraph" w:styleId="ListContinue5">
    <w:name w:val="List Continue 5"/>
    <w:basedOn w:val="List5"/>
    <w:rsid w:val="00401F68"/>
    <w:pPr>
      <w:ind w:firstLine="0"/>
    </w:pPr>
  </w:style>
  <w:style w:type="paragraph" w:styleId="ListNumber3">
    <w:name w:val="List Number 3"/>
    <w:basedOn w:val="List3"/>
    <w:rsid w:val="00401F68"/>
    <w:pPr>
      <w:numPr>
        <w:numId w:val="4"/>
      </w:numPr>
    </w:pPr>
  </w:style>
  <w:style w:type="paragraph" w:styleId="ListNumber4">
    <w:name w:val="List Number 4"/>
    <w:basedOn w:val="List4"/>
    <w:rsid w:val="00401F68"/>
    <w:pPr>
      <w:numPr>
        <w:numId w:val="5"/>
      </w:numPr>
    </w:pPr>
  </w:style>
  <w:style w:type="paragraph" w:styleId="ListNumber5">
    <w:name w:val="List Number 5"/>
    <w:basedOn w:val="List5"/>
    <w:rsid w:val="00401F68"/>
    <w:pPr>
      <w:numPr>
        <w:numId w:val="6"/>
      </w:numPr>
    </w:pPr>
  </w:style>
  <w:style w:type="paragraph" w:styleId="BlockText">
    <w:name w:val="Block Text"/>
    <w:basedOn w:val="Normal"/>
    <w:rsid w:val="00401F68"/>
    <w:pPr>
      <w:spacing w:after="120"/>
      <w:ind w:left="1440" w:right="1440"/>
    </w:pPr>
  </w:style>
  <w:style w:type="character" w:customStyle="1" w:styleId="Subscript">
    <w:name w:val="Subscript"/>
    <w:basedOn w:val="DefaultParagraphFont"/>
    <w:rsid w:val="00401F68"/>
    <w:rPr>
      <w:sz w:val="16"/>
      <w:vertAlign w:val="subscript"/>
    </w:rPr>
  </w:style>
  <w:style w:type="character" w:customStyle="1" w:styleId="Superscript">
    <w:name w:val="Superscript"/>
    <w:basedOn w:val="DefaultParagraphFont"/>
    <w:rsid w:val="00401F68"/>
    <w:rPr>
      <w:sz w:val="16"/>
      <w:vertAlign w:val="superscript"/>
    </w:rPr>
  </w:style>
  <w:style w:type="character" w:customStyle="1" w:styleId="Symbols">
    <w:name w:val="Symbols"/>
    <w:basedOn w:val="DefaultParagraphFont"/>
    <w:rsid w:val="00401F68"/>
    <w:rPr>
      <w:rFonts w:ascii="Symbol" w:hAnsi="Symbol"/>
    </w:rPr>
  </w:style>
  <w:style w:type="character" w:customStyle="1" w:styleId="MenuOptions">
    <w:name w:val="Menu Options"/>
    <w:basedOn w:val="DefaultParagraphFont"/>
    <w:rsid w:val="00401F68"/>
    <w:rPr>
      <w:rFonts w:ascii="Arial Narrow" w:hAnsi="Arial Narrow"/>
      <w:smallCaps/>
    </w:rPr>
  </w:style>
  <w:style w:type="character" w:customStyle="1" w:styleId="Buttons">
    <w:name w:val="Buttons"/>
    <w:basedOn w:val="DefaultParagraphFont"/>
    <w:rsid w:val="00401F68"/>
    <w:rPr>
      <w:b/>
    </w:rPr>
  </w:style>
  <w:style w:type="character" w:customStyle="1" w:styleId="Underlined">
    <w:name w:val="Underlined"/>
    <w:basedOn w:val="DefaultParagraphFont"/>
    <w:rsid w:val="00401F68"/>
    <w:rPr>
      <w:u w:val="single"/>
    </w:rPr>
  </w:style>
  <w:style w:type="paragraph" w:customStyle="1" w:styleId="TableBodyTextRight">
    <w:name w:val="Table Body Text Right"/>
    <w:basedOn w:val="TableBodyText"/>
    <w:rsid w:val="00401F68"/>
    <w:pPr>
      <w:widowControl w:val="0"/>
      <w:autoSpaceDE w:val="0"/>
      <w:autoSpaceDN w:val="0"/>
      <w:adjustRightInd w:val="0"/>
      <w:jc w:val="right"/>
    </w:pPr>
    <w:rPr>
      <w:rFonts w:cs="Arial"/>
      <w:szCs w:val="18"/>
    </w:rPr>
  </w:style>
  <w:style w:type="paragraph" w:customStyle="1" w:styleId="CopyrightText">
    <w:name w:val="Copyright Text"/>
    <w:basedOn w:val="BodyText"/>
    <w:rsid w:val="00401F68"/>
    <w:rPr>
      <w:sz w:val="18"/>
    </w:rPr>
  </w:style>
  <w:style w:type="paragraph" w:customStyle="1" w:styleId="BodySmallRight">
    <w:name w:val="Body Small Right"/>
    <w:basedOn w:val="BodyTextRight"/>
    <w:rsid w:val="00401F68"/>
    <w:rPr>
      <w:sz w:val="18"/>
      <w:szCs w:val="18"/>
    </w:rPr>
  </w:style>
  <w:style w:type="paragraph" w:customStyle="1" w:styleId="MarginEdition">
    <w:name w:val="Margin Edition"/>
    <w:basedOn w:val="MarginNote"/>
    <w:rsid w:val="00401F68"/>
    <w:pPr>
      <w:spacing w:before="0" w:after="0"/>
    </w:pPr>
    <w:rPr>
      <w:rFonts w:ascii="Times New Roman" w:hAnsi="Times New Roman"/>
      <w:color w:val="999999"/>
    </w:rPr>
  </w:style>
  <w:style w:type="paragraph" w:customStyle="1" w:styleId="Spacer">
    <w:name w:val="Spacer"/>
    <w:basedOn w:val="Normal"/>
    <w:rsid w:val="00401F68"/>
    <w:rPr>
      <w:sz w:val="2"/>
      <w:szCs w:val="2"/>
    </w:rPr>
  </w:style>
  <w:style w:type="character" w:customStyle="1" w:styleId="Small">
    <w:name w:val="Small"/>
    <w:basedOn w:val="DefaultParagraphFont"/>
    <w:rsid w:val="00401F68"/>
    <w:rPr>
      <w:sz w:val="16"/>
    </w:rPr>
  </w:style>
  <w:style w:type="paragraph" w:customStyle="1" w:styleId="WideTable">
    <w:name w:val="Wide Table"/>
    <w:basedOn w:val="Normal"/>
    <w:rsid w:val="00401F68"/>
    <w:pPr>
      <w:ind w:left="-1418"/>
    </w:pPr>
    <w:rPr>
      <w:sz w:val="2"/>
      <w:szCs w:val="2"/>
    </w:rPr>
  </w:style>
  <w:style w:type="character" w:styleId="PageNumber">
    <w:name w:val="page number"/>
    <w:basedOn w:val="DefaultParagraphFont"/>
    <w:rsid w:val="00401F68"/>
  </w:style>
  <w:style w:type="paragraph" w:styleId="Quote">
    <w:name w:val="Quote"/>
    <w:basedOn w:val="Heading1"/>
    <w:link w:val="QuoteChar"/>
    <w:qFormat/>
    <w:rsid w:val="00401F68"/>
    <w:rPr>
      <w:b w:val="0"/>
      <w:sz w:val="72"/>
      <w:szCs w:val="72"/>
      <w:lang w:val="en-NZ"/>
    </w:rPr>
  </w:style>
  <w:style w:type="character" w:customStyle="1" w:styleId="QuoteChar">
    <w:name w:val="Quote Char"/>
    <w:basedOn w:val="DefaultParagraphFont"/>
    <w:link w:val="Quote"/>
    <w:rsid w:val="00401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F68"/>
    <w:pPr>
      <w:pageBreakBefore/>
    </w:pPr>
  </w:style>
  <w:style w:type="paragraph" w:customStyle="1" w:styleId="Border">
    <w:name w:val="Border"/>
    <w:basedOn w:val="Normal"/>
    <w:qFormat/>
    <w:rsid w:val="00401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F68"/>
    <w:rPr>
      <w:b/>
      <w:bCs/>
      <w:i/>
      <w:iCs/>
      <w:color w:val="auto"/>
    </w:rPr>
  </w:style>
  <w:style w:type="paragraph" w:styleId="IntenseQuote">
    <w:name w:val="Intense Quote"/>
    <w:basedOn w:val="Normal"/>
    <w:next w:val="Normal"/>
    <w:link w:val="IntenseQuoteChar"/>
    <w:uiPriority w:val="30"/>
    <w:qFormat/>
    <w:rsid w:val="00401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F68"/>
    <w:rPr>
      <w:smallCaps/>
      <w:color w:val="auto"/>
      <w:u w:val="single"/>
    </w:rPr>
  </w:style>
  <w:style w:type="character" w:styleId="IntenseReference">
    <w:name w:val="Intense Reference"/>
    <w:basedOn w:val="DefaultParagraphFont"/>
    <w:uiPriority w:val="32"/>
    <w:qFormat/>
    <w:rsid w:val="00401F68"/>
    <w:rPr>
      <w:b/>
      <w:bCs/>
      <w:smallCaps/>
      <w:color w:val="auto"/>
      <w:spacing w:val="5"/>
      <w:u w:val="single"/>
    </w:rPr>
  </w:style>
  <w:style w:type="paragraph" w:customStyle="1" w:styleId="2ColumnHeading">
    <w:name w:val="2Column Heading"/>
    <w:basedOn w:val="BodyText"/>
    <w:qFormat/>
    <w:rsid w:val="00401F68"/>
    <w:pPr>
      <w:spacing w:after="60"/>
      <w:ind w:left="-2268"/>
    </w:pPr>
    <w:rPr>
      <w:b/>
    </w:rPr>
  </w:style>
  <w:style w:type="paragraph" w:customStyle="1" w:styleId="Heading1TOC">
    <w:name w:val="Heading1 TOC"/>
    <w:basedOn w:val="Normal"/>
    <w:qFormat/>
    <w:rsid w:val="00401F68"/>
    <w:pPr>
      <w:spacing w:before="240" w:after="120"/>
    </w:pPr>
    <w:rPr>
      <w:rFonts w:ascii="Times New Roman" w:hAnsi="Times New Roman"/>
      <w:b/>
      <w:sz w:val="32"/>
    </w:rPr>
  </w:style>
  <w:style w:type="paragraph" w:customStyle="1" w:styleId="Heading2TOC">
    <w:name w:val="Heading2 TOC"/>
    <w:basedOn w:val="Normal"/>
    <w:qFormat/>
    <w:rsid w:val="00401F68"/>
    <w:pPr>
      <w:spacing w:before="240" w:after="60"/>
    </w:pPr>
    <w:rPr>
      <w:rFonts w:ascii="Times New Roman" w:hAnsi="Times New Roman"/>
      <w:b/>
      <w:sz w:val="28"/>
    </w:rPr>
  </w:style>
  <w:style w:type="character" w:customStyle="1" w:styleId="Underline">
    <w:name w:val="Underline"/>
    <w:basedOn w:val="DefaultParagraphFont"/>
    <w:qFormat/>
    <w:rsid w:val="00401F68"/>
    <w:rPr>
      <w:u w:val="single"/>
    </w:rPr>
  </w:style>
  <w:style w:type="character" w:customStyle="1" w:styleId="BoldandItalics">
    <w:name w:val="Bold and Italics"/>
    <w:qFormat/>
    <w:rsid w:val="00401F68"/>
    <w:rPr>
      <w:b/>
      <w:i/>
      <w:u w:val="none"/>
    </w:rPr>
  </w:style>
  <w:style w:type="paragraph" w:styleId="BalloonText">
    <w:name w:val="Balloon Text"/>
    <w:basedOn w:val="Normal"/>
    <w:link w:val="BalloonTextChar"/>
    <w:rsid w:val="00401F68"/>
    <w:rPr>
      <w:rFonts w:ascii="Tahoma" w:hAnsi="Tahoma" w:cs="Tahoma"/>
      <w:sz w:val="16"/>
      <w:szCs w:val="16"/>
    </w:rPr>
  </w:style>
  <w:style w:type="character" w:customStyle="1" w:styleId="BalloonTextChar">
    <w:name w:val="Balloon Text Char"/>
    <w:basedOn w:val="DefaultParagraphFont"/>
    <w:link w:val="BalloonText"/>
    <w:rsid w:val="00401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F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1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F68"/>
    <w:rPr>
      <w:b/>
      <w:color w:val="660033"/>
      <w:spacing w:val="0"/>
    </w:rPr>
  </w:style>
  <w:style w:type="paragraph" w:customStyle="1" w:styleId="Nameditemlist">
    <w:name w:val="Named item list"/>
    <w:basedOn w:val="BodyText"/>
    <w:qFormat/>
    <w:rsid w:val="00401F68"/>
    <w:pPr>
      <w:tabs>
        <w:tab w:val="left" w:pos="2835"/>
      </w:tabs>
      <w:ind w:left="2835" w:hanging="2835"/>
    </w:pPr>
  </w:style>
  <w:style w:type="paragraph" w:customStyle="1" w:styleId="BodyTextnopadding">
    <w:name w:val="Body Text no padding"/>
    <w:basedOn w:val="BodyText"/>
    <w:qFormat/>
    <w:rsid w:val="00401F68"/>
    <w:pPr>
      <w:spacing w:before="0" w:after="0"/>
    </w:pPr>
  </w:style>
  <w:style w:type="paragraph" w:customStyle="1" w:styleId="BodyTextBold">
    <w:name w:val="Body Text Bold"/>
    <w:basedOn w:val="BodyText"/>
    <w:qFormat/>
    <w:rsid w:val="00401F68"/>
    <w:rPr>
      <w:b/>
    </w:rPr>
  </w:style>
  <w:style w:type="character" w:styleId="Hyperlink">
    <w:name w:val="Hyperlink"/>
    <w:basedOn w:val="DefaultParagraphFont"/>
    <w:uiPriority w:val="99"/>
    <w:unhideWhenUsed/>
    <w:rsid w:val="00EC74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1116</Words>
  <Characters>7288</Characters>
  <Application>Microsoft Office Word</Application>
  <DocSecurity>0</DocSecurity>
  <Lines>331</Lines>
  <Paragraphs>158</Paragraphs>
  <ScaleCrop>false</ScaleCrop>
  <Company>Author-it Software Corporation Ltd.</Company>
  <LinksUpToDate>false</LinksUpToDate>
  <CharactersWithSpaces>8246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MSS025008 Monitor and evaluate noise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2022-04-05T04:51:00Z</dcterms:created>
  <dcterms:modified xsi:type="dcterms:W3CDTF">2022-04-05T04:51:00Z</dcterms:modified>
</cp:coreProperties>
</file>