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179" w:rsidP="00BF41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MSS025006 Collect and evaluate groundwater data</w:t>
      </w:r>
      <w:r>
        <w:fldChar w:fldCharType="end"/>
      </w:r>
    </w:p>
    <w:p w:rsidR="00BF4179" w:rsidP="00BF4179">
      <w:pPr>
        <w:pStyle w:val="Version"/>
        <w:sectPr w:rsidSect="00222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52C" w:rsidP="0022252C">
      <w:pPr>
        <w:pStyle w:val="SuperHeading"/>
      </w:pPr>
      <w:r w:rsidRPr="0022252C">
        <w:t>Assessment Requirements for MSS025006 Collect and evaluate groundwater data</w:t>
      </w:r>
    </w:p>
    <w:p w:rsidR="00000000" w:rsidRPr="0022252C" w:rsidP="0022252C">
      <w:pPr>
        <w:pStyle w:val="Heading1"/>
      </w:pPr>
      <w:bookmarkStart w:id="1" w:name="O_922351"/>
      <w:bookmarkEnd w:id="1"/>
      <w:r w:rsidRPr="0022252C">
        <w:t>Modification History</w:t>
      </w:r>
    </w:p>
    <w:p w:rsidR="00000000" w:rsidRPr="0022252C" w:rsidP="00BF4179">
      <w:pPr>
        <w:pStyle w:val="BodyText"/>
      </w:pPr>
      <w:r w:rsidRPr="0022252C">
        <w:t>Release 1. Supersedes and is equivalent to MSS025006A Collect and evaluate groundwater data</w:t>
      </w:r>
    </w:p>
    <w:p w:rsidR="00000000" w:rsidRPr="0022252C" w:rsidP="0022252C">
      <w:pPr>
        <w:pStyle w:val="Heading1"/>
      </w:pPr>
      <w:bookmarkStart w:id="2" w:name="O_922354"/>
      <w:bookmarkEnd w:id="2"/>
      <w:r w:rsidRPr="0022252C">
        <w:t>Performance Evidence</w:t>
      </w:r>
    </w:p>
    <w:p w:rsidR="00000000" w:rsidRPr="0022252C" w:rsidP="00BF4179">
      <w:pPr>
        <w:pStyle w:val="BodyText"/>
      </w:pPr>
      <w:r w:rsidRPr="0022252C">
        <w:t>Evidence of competence in this unit must satisfy all of the requirements of the elements and performance criteria, and include demonstration of:</w:t>
      </w:r>
    </w:p>
    <w:p w:rsidR="00000000" w:rsidRPr="0022252C" w:rsidP="0022252C">
      <w:pPr>
        <w:pStyle w:val="ListBullet"/>
      </w:pPr>
      <w:r w:rsidRPr="0022252C">
        <w:t xml:space="preserve">collecting representative samples of groundwater in accordance with a site sampling plan for at least two (2) </w:t>
      </w:r>
      <w:r w:rsidRPr="0022252C">
        <w:t>sites</w:t>
      </w:r>
    </w:p>
    <w:p w:rsidR="00000000" w:rsidRPr="0022252C" w:rsidP="0022252C">
      <w:pPr>
        <w:pStyle w:val="ListBullet"/>
      </w:pPr>
      <w:r w:rsidRPr="0022252C">
        <w:t>measuring bore conditions and conducting reliable field tests of groundwater parameters on at least two (2) sites</w:t>
      </w:r>
    </w:p>
    <w:p w:rsidR="00000000" w:rsidRPr="0022252C" w:rsidP="0022252C">
      <w:pPr>
        <w:pStyle w:val="ListBullet"/>
      </w:pPr>
      <w:r w:rsidRPr="0022252C">
        <w:t>planning and preparing for field activities</w:t>
      </w:r>
    </w:p>
    <w:p w:rsidR="00000000" w:rsidRPr="0022252C" w:rsidP="0022252C">
      <w:pPr>
        <w:pStyle w:val="ListBullet"/>
      </w:pPr>
      <w:r w:rsidRPr="0022252C">
        <w:t>interpreting and applying groundwater sampling/monitoring plans and procedures for sites, in</w:t>
      </w:r>
      <w:r w:rsidRPr="0022252C">
        <w:t>cluding requirements covering pre-treatment, containers, preservation, storage, labelling and traceability</w:t>
      </w:r>
    </w:p>
    <w:p w:rsidR="00000000" w:rsidRPr="0022252C" w:rsidP="0022252C">
      <w:pPr>
        <w:pStyle w:val="ListBullet"/>
      </w:pPr>
      <w:r w:rsidRPr="0022252C">
        <w:t>recognising site hazards and applying safe work procedures during sampling, testing and transport to and from site</w:t>
      </w:r>
    </w:p>
    <w:p w:rsidR="00000000" w:rsidRPr="0022252C" w:rsidP="0022252C">
      <w:pPr>
        <w:pStyle w:val="ListBullet"/>
      </w:pPr>
      <w:r w:rsidRPr="0022252C">
        <w:t>communicating effectively with sit</w:t>
      </w:r>
      <w:r w:rsidRPr="0022252C">
        <w:t>e personnel, drillers and supervisors about issues such as site access and permits, site operations, scheduling of sampling/testing and environmental requirements</w:t>
      </w:r>
    </w:p>
    <w:p w:rsidR="00000000" w:rsidRPr="0022252C" w:rsidP="0022252C">
      <w:pPr>
        <w:pStyle w:val="ListBullet"/>
      </w:pPr>
      <w:r w:rsidRPr="0022252C">
        <w:t>demonstrating correct and safe use and calibration of field instruments and/or equipment</w:t>
      </w:r>
    </w:p>
    <w:p w:rsidR="00000000" w:rsidRPr="0022252C" w:rsidP="0022252C">
      <w:pPr>
        <w:pStyle w:val="ListBullet"/>
      </w:pPr>
      <w:r w:rsidRPr="0022252C">
        <w:t>iden</w:t>
      </w:r>
      <w:r w:rsidRPr="0022252C">
        <w:t>tifying atypical sampling conditions and samples and taking appropriate action</w:t>
      </w:r>
    </w:p>
    <w:p w:rsidR="00000000" w:rsidRPr="0022252C" w:rsidP="0022252C">
      <w:pPr>
        <w:pStyle w:val="ListBullet"/>
      </w:pPr>
      <w:r w:rsidRPr="0022252C">
        <w:t>identifying and rectifying basic instrument faults</w:t>
      </w:r>
    </w:p>
    <w:p w:rsidR="00000000" w:rsidRPr="0022252C" w:rsidP="0022252C">
      <w:pPr>
        <w:pStyle w:val="ListBullet"/>
      </w:pPr>
      <w:r w:rsidRPr="0022252C">
        <w:t>calculating results using appropriate units/precision</w:t>
      </w:r>
    </w:p>
    <w:p w:rsidR="00000000" w:rsidRPr="0022252C" w:rsidP="0022252C">
      <w:pPr>
        <w:pStyle w:val="ListBullet"/>
      </w:pPr>
      <w:r w:rsidRPr="0022252C">
        <w:t>identifying atypical results as out-of-normal range or an artefact</w:t>
      </w:r>
    </w:p>
    <w:p w:rsidR="00000000" w:rsidRPr="0022252C" w:rsidP="0022252C">
      <w:pPr>
        <w:pStyle w:val="ListBullet"/>
      </w:pPr>
      <w:r w:rsidRPr="0022252C">
        <w:t>seeki</w:t>
      </w:r>
      <w:r w:rsidRPr="0022252C">
        <w:t>ng advice when issues/problems are beyond scope of competence/responsibility</w:t>
      </w:r>
    </w:p>
    <w:p w:rsidR="00000000" w:rsidRPr="0022252C" w:rsidP="0022252C">
      <w:pPr>
        <w:pStyle w:val="ListBullet"/>
      </w:pPr>
      <w:r w:rsidRPr="0022252C">
        <w:t>cleaning, decontaminating and maintaining purging/sampling equipment</w:t>
      </w:r>
    </w:p>
    <w:p w:rsidR="00000000" w:rsidRPr="0022252C" w:rsidP="0022252C">
      <w:pPr>
        <w:pStyle w:val="ListBullet"/>
      </w:pPr>
      <w:r w:rsidRPr="0022252C">
        <w:t>following relevant legislative requirements for the disposal of waste and the preservation of the environment</w:t>
      </w:r>
    </w:p>
    <w:p w:rsidR="00000000" w:rsidRPr="0022252C" w:rsidP="0022252C">
      <w:pPr>
        <w:pStyle w:val="ListBullet"/>
      </w:pPr>
      <w:r w:rsidRPr="0022252C">
        <w:t>preparing accurate records of groundwater sampling, site observations and measurements</w:t>
      </w:r>
    </w:p>
    <w:p w:rsidR="00000000" w:rsidRPr="0022252C" w:rsidP="0022252C">
      <w:pPr>
        <w:pStyle w:val="ListBullet"/>
      </w:pPr>
      <w:r w:rsidRPr="0022252C">
        <w:t>producing concise and accurate reports within the agreed timeframe.</w:t>
      </w:r>
    </w:p>
    <w:p w:rsidR="00000000" w:rsidRPr="0022252C" w:rsidP="0022252C">
      <w:pPr>
        <w:pStyle w:val="AllowPageBreak"/>
      </w:pPr>
    </w:p>
    <w:p w:rsidR="00000000" w:rsidRPr="0022252C" w:rsidP="0022252C">
      <w:pPr>
        <w:pStyle w:val="Heading1"/>
      </w:pPr>
      <w:bookmarkStart w:id="3" w:name="O_922353"/>
      <w:bookmarkEnd w:id="3"/>
      <w:r w:rsidRPr="0022252C">
        <w:t>Knowledge Evidence</w:t>
      </w:r>
    </w:p>
    <w:p w:rsidR="00000000" w:rsidRPr="0022252C" w:rsidP="00BF4179">
      <w:pPr>
        <w:pStyle w:val="BodyText"/>
      </w:pPr>
      <w:r w:rsidRPr="0022252C">
        <w:t>Must provide evidence that demonstrates knowledge of:</w:t>
      </w:r>
    </w:p>
    <w:p w:rsidR="00000000" w:rsidRPr="0022252C" w:rsidP="0022252C">
      <w:pPr>
        <w:pStyle w:val="ListBullet"/>
      </w:pPr>
      <w:r w:rsidRPr="0022252C">
        <w:t>terminology used to describe aquifers, drilling/construction of wells and bores, and groundwater sampling/testing procedures</w:t>
      </w:r>
    </w:p>
    <w:p w:rsidR="00000000" w:rsidRPr="0022252C" w:rsidP="0022252C">
      <w:pPr>
        <w:pStyle w:val="ListBullet"/>
      </w:pPr>
      <w:r w:rsidRPr="0022252C">
        <w:t>principles of representative sampling and field testing of common groundwater parameters</w:t>
      </w:r>
    </w:p>
    <w:p w:rsidR="00000000" w:rsidRPr="0022252C" w:rsidP="0022252C">
      <w:pPr>
        <w:pStyle w:val="ListBullet"/>
      </w:pPr>
      <w:r w:rsidRPr="0022252C">
        <w:t>preservation of the integrity of samples</w:t>
      </w:r>
    </w:p>
    <w:p w:rsidR="00000000" w:rsidRPr="0022252C" w:rsidP="0022252C">
      <w:pPr>
        <w:pStyle w:val="ListBullet"/>
      </w:pPr>
      <w:r w:rsidRPr="0022252C">
        <w:t>m</w:t>
      </w:r>
      <w:r w:rsidRPr="0022252C">
        <w:t>aintaining identification of samples relative to their source, workplace and/or legal traceability requirements</w:t>
      </w:r>
    </w:p>
    <w:p w:rsidR="00000000" w:rsidRPr="0022252C" w:rsidP="0022252C">
      <w:pPr>
        <w:pStyle w:val="ListBullet"/>
      </w:pPr>
      <w:r w:rsidRPr="0022252C">
        <w:t>typical values of groundwater parameters, common pollutants/contaminants</w:t>
      </w:r>
    </w:p>
    <w:p w:rsidR="00000000" w:rsidRPr="0022252C" w:rsidP="0022252C">
      <w:pPr>
        <w:pStyle w:val="ListBullet"/>
      </w:pPr>
      <w:r w:rsidRPr="0022252C">
        <w:t>links between quality control, quality assurance, quality management sy</w:t>
      </w:r>
      <w:r w:rsidRPr="0022252C">
        <w:t>stems and sampling procedures</w:t>
      </w:r>
    </w:p>
    <w:p w:rsidR="00000000" w:rsidRPr="0022252C" w:rsidP="0022252C">
      <w:pPr>
        <w:pStyle w:val="ListBullet"/>
      </w:pPr>
      <w:r w:rsidRPr="0022252C">
        <w:t>workplace procedures dealing with legislative requirements for the handling, labelling and transport of hazardous goods</w:t>
      </w:r>
    </w:p>
    <w:p w:rsidR="00000000" w:rsidRPr="0022252C" w:rsidP="0022252C">
      <w:pPr>
        <w:pStyle w:val="ListBullet"/>
      </w:pPr>
      <w:r w:rsidRPr="0022252C">
        <w:t>common site hazards, links between safe work procedures and personal and environmental safety, particularl</w:t>
      </w:r>
      <w:r w:rsidRPr="0022252C">
        <w:t>y at high risk sites.</w:t>
      </w:r>
    </w:p>
    <w:p w:rsidR="00000000" w:rsidRPr="0022252C" w:rsidP="0022252C">
      <w:pPr>
        <w:pStyle w:val="AllowPageBreak"/>
      </w:pPr>
    </w:p>
    <w:p w:rsidR="00000000" w:rsidRPr="0022252C" w:rsidP="0022252C">
      <w:pPr>
        <w:pStyle w:val="Heading1"/>
      </w:pPr>
      <w:bookmarkStart w:id="4" w:name="O_922352"/>
      <w:bookmarkEnd w:id="4"/>
      <w:r w:rsidRPr="0022252C">
        <w:t>Assessment Conditions</w:t>
      </w:r>
    </w:p>
    <w:p w:rsidR="00000000" w:rsidRPr="0022252C" w:rsidP="0022252C">
      <w:pPr>
        <w:pStyle w:val="ListBullet"/>
      </w:pPr>
      <w:r w:rsidRPr="0022252C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22252C" w:rsidP="0022252C">
      <w:pPr>
        <w:pStyle w:val="ListBullet"/>
      </w:pPr>
      <w:r w:rsidRPr="0022252C">
        <w:t>This u</w:t>
      </w:r>
      <w:r w:rsidRPr="0022252C">
        <w:t>nit of competency is to be assessed in the workplace, or a simulated workplace environment. A simulated workplace environment must reflect realistic operational workplace conditions that cover all aspects of workplace performance, including the environment</w:t>
      </w:r>
      <w:r w:rsidRPr="0022252C">
        <w:t>, task skills, task management skills, contingency management skills and job role environment skills.</w:t>
      </w:r>
    </w:p>
    <w:p w:rsidR="00000000" w:rsidRPr="0022252C" w:rsidP="0022252C">
      <w:pPr>
        <w:pStyle w:val="ListBullet"/>
      </w:pPr>
      <w:r w:rsidRPr="0022252C">
        <w:t xml:space="preserve">Foundation skills are integral to competent performance of the unit and should not be assessed separately. </w:t>
      </w:r>
    </w:p>
    <w:p w:rsidR="00000000" w:rsidRPr="0022252C" w:rsidP="0022252C">
      <w:pPr>
        <w:pStyle w:val="ListBullet"/>
      </w:pPr>
      <w:r w:rsidRPr="0022252C">
        <w:t>Assessment processes and techniques must be ap</w:t>
      </w:r>
      <w:r w:rsidRPr="0022252C">
        <w:t>propriate to the language, literacy and numeracy requirements of the work being performed and the needs of the candidate.</w:t>
      </w:r>
    </w:p>
    <w:p w:rsidR="00000000" w:rsidRPr="0022252C" w:rsidP="0022252C">
      <w:pPr>
        <w:pStyle w:val="ListBullet"/>
      </w:pPr>
      <w:r w:rsidRPr="0022252C">
        <w:t>Knowledge evidence may be collected concurrently with performance evidence or through an independent process such as workbooks, writte</w:t>
      </w:r>
      <w:r w:rsidRPr="0022252C">
        <w:t>n assessments or interviews (provided a record is kept in each case).</w:t>
      </w:r>
    </w:p>
    <w:p w:rsidR="00000000" w:rsidRPr="0022252C" w:rsidP="0022252C">
      <w:pPr>
        <w:pStyle w:val="ListBullet"/>
      </w:pPr>
      <w:r w:rsidRPr="0022252C">
        <w:t xml:space="preserve">Holistic assessment methods include: </w:t>
      </w:r>
    </w:p>
    <w:p w:rsidR="00000000" w:rsidRPr="0022252C" w:rsidP="0022252C">
      <w:pPr>
        <w:pStyle w:val="ListBullet2"/>
      </w:pPr>
      <w:r w:rsidRPr="0022252C">
        <w:t>inspection of groundwater samples collected by the candidate from at least (2) two sites</w:t>
      </w:r>
    </w:p>
    <w:p w:rsidR="00000000" w:rsidRPr="0022252C" w:rsidP="0022252C">
      <w:pPr>
        <w:pStyle w:val="ListBullet2"/>
      </w:pPr>
      <w:r w:rsidRPr="0022252C">
        <w:t>review of groundwater measurements, test results, calculations and site observations produced by the candidate for at least two (2) sites</w:t>
      </w:r>
    </w:p>
    <w:p w:rsidR="00000000" w:rsidRPr="0022252C" w:rsidP="0022252C">
      <w:pPr>
        <w:pStyle w:val="ListBullet2"/>
      </w:pPr>
      <w:r w:rsidRPr="0022252C">
        <w:t>review of sampling/testing records completed by the candidate</w:t>
      </w:r>
    </w:p>
    <w:p w:rsidR="00000000" w:rsidRPr="0022252C" w:rsidP="0022252C">
      <w:pPr>
        <w:pStyle w:val="ListBullet2"/>
      </w:pPr>
      <w:r w:rsidRPr="0022252C">
        <w:t xml:space="preserve">feedback from supervisors about the candidate’s ability </w:t>
      </w:r>
      <w:r w:rsidRPr="0022252C">
        <w:t>to apply workplace procedures consistently, work safely and produce results within the agreed timeframe</w:t>
      </w:r>
    </w:p>
    <w:p w:rsidR="00000000" w:rsidRPr="0022252C" w:rsidP="0022252C">
      <w:pPr>
        <w:pStyle w:val="ListBullet2"/>
      </w:pPr>
      <w:r w:rsidRPr="0022252C">
        <w:t>oral and/or written questions to check the candidate’s understanding of groundwater parameters, sampling/test procedures and calculations.</w:t>
      </w:r>
    </w:p>
    <w:p w:rsidR="00000000" w:rsidRPr="0022252C" w:rsidP="0022252C">
      <w:pPr>
        <w:pStyle w:val="ListBullet"/>
      </w:pPr>
      <w:r w:rsidRPr="0022252C">
        <w:t>Access is re</w:t>
      </w:r>
      <w:r w:rsidRPr="0022252C">
        <w:t>quired to all instruments, equipment, materials, workplace documentation, procedures, and specifications associated with this unit including, but not limited to:</w:t>
      </w:r>
    </w:p>
    <w:p w:rsidR="00000000" w:rsidRPr="0022252C" w:rsidP="0022252C">
      <w:pPr>
        <w:pStyle w:val="ListBullet2"/>
      </w:pPr>
      <w:r w:rsidRPr="0022252C">
        <w:t>vehicles, sampling equipment, field test equipment, digital camera, containers and reagents/c</w:t>
      </w:r>
      <w:r w:rsidRPr="0022252C">
        <w:t>onsumables</w:t>
      </w:r>
    </w:p>
    <w:p w:rsidR="00000000" w:rsidRPr="0022252C" w:rsidP="0022252C">
      <w:pPr>
        <w:pStyle w:val="ListBullet2"/>
      </w:pPr>
      <w:r w:rsidRPr="0022252C">
        <w:t>safe work procedures and safety equipment</w:t>
      </w:r>
    </w:p>
    <w:p w:rsidR="00000000" w:rsidRPr="0022252C" w:rsidP="0022252C">
      <w:pPr>
        <w:pStyle w:val="ListBullet2"/>
      </w:pPr>
      <w:r w:rsidRPr="0022252C">
        <w:t>workplace procedures, work program, maps, site plans, site sampling plans and test methods, and equipment manuals.</w:t>
      </w:r>
    </w:p>
    <w:p w:rsidR="00000000" w:rsidRPr="0022252C" w:rsidP="0022252C">
      <w:pPr>
        <w:pStyle w:val="ListBullet"/>
      </w:pPr>
      <w:r w:rsidRPr="0022252C">
        <w:t>Assessors must satisfy the assessor competency requirements that are in place at the ti</w:t>
      </w:r>
      <w:r w:rsidRPr="0022252C">
        <w:t xml:space="preserve">me of the assessment as set by the VET regulator.  </w:t>
      </w:r>
    </w:p>
    <w:p w:rsidR="00000000" w:rsidRPr="0022252C" w:rsidP="0022252C">
      <w:pPr>
        <w:pStyle w:val="ListBullet"/>
      </w:pPr>
      <w:r w:rsidRPr="0022252C">
        <w:t>The assessor must demonstrate both technical competency and currency.</w:t>
      </w:r>
    </w:p>
    <w:p w:rsidR="00000000" w:rsidRPr="0022252C" w:rsidP="0022252C">
      <w:pPr>
        <w:pStyle w:val="ListBullet"/>
      </w:pPr>
      <w:r w:rsidRPr="0022252C">
        <w:t>Technical competence can be demonstrated through:</w:t>
      </w:r>
    </w:p>
    <w:p w:rsidR="00000000" w:rsidRPr="0022252C" w:rsidP="0022252C">
      <w:pPr>
        <w:pStyle w:val="ListBullet2"/>
      </w:pPr>
      <w:r w:rsidRPr="0022252C">
        <w:t>relevant VET or other qualification/Statement of Attainment AND/OR</w:t>
      </w:r>
    </w:p>
    <w:p w:rsidR="00000000" w:rsidRPr="0022252C" w:rsidP="0022252C">
      <w:pPr>
        <w:pStyle w:val="ListBullet2"/>
      </w:pPr>
      <w:r w:rsidRPr="0022252C">
        <w:t>relevant workpla</w:t>
      </w:r>
      <w:r w:rsidRPr="0022252C">
        <w:t xml:space="preserve">ce experience </w:t>
      </w:r>
    </w:p>
    <w:p w:rsidR="00000000" w:rsidRPr="0022252C" w:rsidP="0022252C">
      <w:pPr>
        <w:pStyle w:val="ListBullet"/>
      </w:pPr>
      <w:r w:rsidRPr="0022252C">
        <w:t>Currency can be demonstrated through:</w:t>
      </w:r>
    </w:p>
    <w:p w:rsidR="00000000" w:rsidRPr="0022252C" w:rsidP="0022252C">
      <w:pPr>
        <w:pStyle w:val="ListBullet2"/>
      </w:pPr>
      <w:r w:rsidRPr="0022252C">
        <w:t>performing the competency being assessed as part of current employment OR</w:t>
      </w:r>
    </w:p>
    <w:p w:rsidR="00000000" w:rsidRPr="0022252C" w:rsidP="0022252C">
      <w:pPr>
        <w:pStyle w:val="ListBullet2"/>
      </w:pPr>
      <w:r w:rsidRPr="0022252C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22252C" w:rsidP="0022252C">
      <w:pPr>
        <w:pStyle w:val="AllowPageBreak"/>
      </w:pPr>
    </w:p>
    <w:p w:rsidR="00000000" w:rsidRPr="0022252C" w:rsidP="0022252C">
      <w:pPr>
        <w:pStyle w:val="Heading1"/>
      </w:pPr>
      <w:bookmarkStart w:id="5" w:name="O_922350"/>
      <w:bookmarkEnd w:id="5"/>
      <w:r w:rsidRPr="0022252C">
        <w:t>Links</w:t>
      </w:r>
    </w:p>
    <w:p w:rsidR="00000000" w:rsidRPr="0022252C" w:rsidP="00BF4179">
      <w:pPr>
        <w:pStyle w:val="BodyText"/>
      </w:pPr>
      <w:r w:rsidRPr="0022252C">
        <w:t xml:space="preserve">Companion Volume implementation guides </w:t>
      </w:r>
      <w:r w:rsidRPr="0022252C">
        <w:t xml:space="preserve">are found in VETNet - </w:t>
      </w:r>
      <w:r>
        <w:fldChar w:fldCharType="begin"/>
      </w:r>
      <w:r>
        <w:instrText xml:space="preserve"> HYPERLINK "https://vetnet.education.gov.au/Pages/TrainingDocs.aspx?q=5b04f318-804f-4dc0-9463-c3fb9a3fe998" </w:instrText>
      </w:r>
      <w:r>
        <w:fldChar w:fldCharType="separate"/>
      </w:r>
      <w:r w:rsidRPr="00F738D1">
        <w:rPr>
          <w:rStyle w:val="Hyperlink"/>
        </w:rPr>
        <w:t>https://vetnet.education.gov.au/Pages/TrainingDocs.aspx?q=5b04f318-804f-4dc0-9463-c3fb9a3fe998</w:t>
      </w:r>
      <w:r>
        <w:fldChar w:fldCharType="end"/>
      </w:r>
    </w:p>
    <w:p w:rsidR="00000000" w:rsidRPr="0022252C" w:rsidP="0022252C"/>
    <w:sectPr w:rsidSect="002225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C" w:rsidRPr="00BF4179" w:rsidP="00BF41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79" w:rsidP="00222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179" w:rsidP="00222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4179" w:rsidP="00222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52C" w:rsidRPr="00BF4179" w:rsidP="00BF41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79" w:rsidRPr="002D2AF8" w:rsidP="00222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MSS025006 Collect and evaluate groundwater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BF4179" w:rsidP="00222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22E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0E2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9AB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52C"/>
  </w:style>
  <w:style w:type="character" w:customStyle="1" w:styleId="Heading1Char">
    <w:name w:val="Heading 1 Char"/>
    <w:basedOn w:val="DefaultParagraphFont"/>
    <w:link w:val="Heading1"/>
    <w:rsid w:val="00222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5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25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2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52C"/>
    <w:rPr>
      <w:b/>
      <w:spacing w:val="0"/>
    </w:rPr>
  </w:style>
  <w:style w:type="paragraph" w:customStyle="1" w:styleId="SuperTitle">
    <w:name w:val="SuperTitle"/>
    <w:basedOn w:val="Title"/>
    <w:rsid w:val="00222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52C"/>
    <w:rPr>
      <w:i/>
    </w:rPr>
  </w:style>
  <w:style w:type="paragraph" w:styleId="Caption">
    <w:name w:val="caption"/>
    <w:basedOn w:val="BodyText"/>
    <w:next w:val="Normal"/>
    <w:qFormat/>
    <w:rsid w:val="00222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52C"/>
  </w:style>
  <w:style w:type="paragraph" w:styleId="TableofFigures">
    <w:name w:val="table of figures"/>
    <w:basedOn w:val="Normal"/>
    <w:next w:val="Normal"/>
    <w:semiHidden/>
    <w:rsid w:val="00222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52C"/>
    <w:pPr>
      <w:numPr>
        <w:numId w:val="11"/>
      </w:numPr>
    </w:pPr>
  </w:style>
  <w:style w:type="character" w:customStyle="1" w:styleId="WingdingSymbols">
    <w:name w:val="Wingding Symbols"/>
    <w:rsid w:val="0022252C"/>
    <w:rPr>
      <w:rFonts w:ascii="Wingdings" w:hAnsi="Wingdings"/>
    </w:rPr>
  </w:style>
  <w:style w:type="paragraph" w:customStyle="1" w:styleId="TableHeading">
    <w:name w:val="Table Heading"/>
    <w:basedOn w:val="HeadingBase"/>
    <w:rsid w:val="00222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52C"/>
    <w:rPr>
      <w:color w:val="0033CC"/>
      <w:u w:val="none"/>
    </w:rPr>
  </w:style>
  <w:style w:type="paragraph" w:customStyle="1" w:styleId="BodyTextRight">
    <w:name w:val="Body Text Right"/>
    <w:basedOn w:val="BodyText"/>
    <w:rsid w:val="00222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5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52C"/>
    <w:rPr>
      <w:sz w:val="32"/>
    </w:rPr>
  </w:style>
  <w:style w:type="paragraph" w:customStyle="1" w:styleId="HeadingProcedure">
    <w:name w:val="Heading Procedure"/>
    <w:basedOn w:val="HeadingBase"/>
    <w:next w:val="Normal"/>
    <w:rsid w:val="00222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52C"/>
    <w:pPr>
      <w:spacing w:before="60" w:after="60"/>
    </w:pPr>
  </w:style>
  <w:style w:type="paragraph" w:styleId="ListContinue">
    <w:name w:val="List Continue"/>
    <w:basedOn w:val="List"/>
    <w:rsid w:val="0022252C"/>
    <w:pPr>
      <w:ind w:firstLine="0"/>
    </w:pPr>
  </w:style>
  <w:style w:type="paragraph" w:customStyle="1" w:styleId="ListNote">
    <w:name w:val="List Note"/>
    <w:basedOn w:val="List"/>
    <w:rsid w:val="00222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52C"/>
    <w:rPr>
      <w:rFonts w:ascii="Courier New" w:hAnsi="Courier New"/>
    </w:rPr>
  </w:style>
  <w:style w:type="paragraph" w:customStyle="1" w:styleId="NoteBullet">
    <w:name w:val="Note Bullet"/>
    <w:basedOn w:val="Note"/>
    <w:rsid w:val="00222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5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2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52C"/>
    <w:rPr>
      <w:b/>
      <w:smallCaps/>
    </w:rPr>
  </w:style>
  <w:style w:type="paragraph" w:customStyle="1" w:styleId="TableListNumber">
    <w:name w:val="Table List Number"/>
    <w:basedOn w:val="ListNumber"/>
    <w:rsid w:val="00222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52C"/>
    <w:pPr>
      <w:numPr>
        <w:numId w:val="9"/>
      </w:numPr>
    </w:pPr>
  </w:style>
  <w:style w:type="paragraph" w:customStyle="1" w:styleId="ListAlpha2">
    <w:name w:val="List Alpha 2"/>
    <w:basedOn w:val="List2"/>
    <w:rsid w:val="0022252C"/>
    <w:pPr>
      <w:numPr>
        <w:numId w:val="8"/>
      </w:numPr>
    </w:pPr>
  </w:style>
  <w:style w:type="paragraph" w:styleId="List2">
    <w:name w:val="List 2"/>
    <w:basedOn w:val="BodyText"/>
    <w:rsid w:val="00222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5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5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52C"/>
    <w:pPr>
      <w:numPr>
        <w:numId w:val="4"/>
      </w:numPr>
    </w:pPr>
  </w:style>
  <w:style w:type="paragraph" w:styleId="ListContinue2">
    <w:name w:val="List Continue 2"/>
    <w:basedOn w:val="List2"/>
    <w:rsid w:val="0022252C"/>
    <w:pPr>
      <w:ind w:firstLine="0"/>
    </w:pPr>
  </w:style>
  <w:style w:type="paragraph" w:styleId="ListContinue3">
    <w:name w:val="List Continue 3"/>
    <w:basedOn w:val="List3"/>
    <w:rsid w:val="0022252C"/>
    <w:pPr>
      <w:ind w:left="1021" w:firstLine="0"/>
    </w:pPr>
  </w:style>
  <w:style w:type="paragraph" w:styleId="ListContinue4">
    <w:name w:val="List Continue 4"/>
    <w:basedOn w:val="List4"/>
    <w:rsid w:val="0022252C"/>
    <w:pPr>
      <w:ind w:firstLine="0"/>
    </w:pPr>
  </w:style>
  <w:style w:type="paragraph" w:styleId="ListContinue5">
    <w:name w:val="List Continue 5"/>
    <w:basedOn w:val="List5"/>
    <w:rsid w:val="0022252C"/>
    <w:pPr>
      <w:ind w:firstLine="0"/>
    </w:pPr>
  </w:style>
  <w:style w:type="paragraph" w:styleId="ListNumber3">
    <w:name w:val="List Number 3"/>
    <w:basedOn w:val="List3"/>
    <w:rsid w:val="0022252C"/>
    <w:pPr>
      <w:numPr>
        <w:numId w:val="5"/>
      </w:numPr>
    </w:pPr>
  </w:style>
  <w:style w:type="paragraph" w:styleId="ListNumber4">
    <w:name w:val="List Number 4"/>
    <w:basedOn w:val="List4"/>
    <w:rsid w:val="0022252C"/>
    <w:pPr>
      <w:numPr>
        <w:numId w:val="6"/>
      </w:numPr>
    </w:pPr>
  </w:style>
  <w:style w:type="paragraph" w:styleId="ListNumber5">
    <w:name w:val="List Number 5"/>
    <w:basedOn w:val="List5"/>
    <w:rsid w:val="0022252C"/>
    <w:pPr>
      <w:numPr>
        <w:numId w:val="7"/>
      </w:numPr>
    </w:pPr>
  </w:style>
  <w:style w:type="paragraph" w:styleId="BlockText">
    <w:name w:val="Block Text"/>
    <w:basedOn w:val="Normal"/>
    <w:rsid w:val="00222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52C"/>
    <w:rPr>
      <w:sz w:val="16"/>
      <w:vertAlign w:val="superscript"/>
    </w:rPr>
  </w:style>
  <w:style w:type="character" w:customStyle="1" w:styleId="Symbols">
    <w:name w:val="Symbols"/>
    <w:basedOn w:val="DefaultParagraphFont"/>
    <w:rsid w:val="0022252C"/>
    <w:rPr>
      <w:rFonts w:ascii="Symbol" w:hAnsi="Symbol"/>
    </w:rPr>
  </w:style>
  <w:style w:type="character" w:customStyle="1" w:styleId="MenuOptions">
    <w:name w:val="Menu Options"/>
    <w:basedOn w:val="DefaultParagraphFont"/>
    <w:rsid w:val="00222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52C"/>
    <w:rPr>
      <w:b/>
    </w:rPr>
  </w:style>
  <w:style w:type="character" w:customStyle="1" w:styleId="Underlined">
    <w:name w:val="Underlined"/>
    <w:basedOn w:val="DefaultParagraphFont"/>
    <w:rsid w:val="0022252C"/>
    <w:rPr>
      <w:u w:val="single"/>
    </w:rPr>
  </w:style>
  <w:style w:type="paragraph" w:customStyle="1" w:styleId="TableBodyTextRight">
    <w:name w:val="Table Body Text Right"/>
    <w:basedOn w:val="TableBodyText"/>
    <w:rsid w:val="00222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52C"/>
    <w:rPr>
      <w:sz w:val="18"/>
    </w:rPr>
  </w:style>
  <w:style w:type="paragraph" w:customStyle="1" w:styleId="BodySmallRight">
    <w:name w:val="Body Small Right"/>
    <w:basedOn w:val="BodyTextRight"/>
    <w:rsid w:val="0022252C"/>
    <w:rPr>
      <w:sz w:val="18"/>
      <w:szCs w:val="18"/>
    </w:rPr>
  </w:style>
  <w:style w:type="paragraph" w:customStyle="1" w:styleId="MarginEdition">
    <w:name w:val="Margin Edition"/>
    <w:basedOn w:val="MarginNote"/>
    <w:rsid w:val="00222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52C"/>
    <w:rPr>
      <w:sz w:val="2"/>
      <w:szCs w:val="2"/>
    </w:rPr>
  </w:style>
  <w:style w:type="character" w:customStyle="1" w:styleId="Small">
    <w:name w:val="Small"/>
    <w:basedOn w:val="DefaultParagraphFont"/>
    <w:rsid w:val="0022252C"/>
    <w:rPr>
      <w:sz w:val="16"/>
    </w:rPr>
  </w:style>
  <w:style w:type="paragraph" w:customStyle="1" w:styleId="WideTable">
    <w:name w:val="Wide Table"/>
    <w:basedOn w:val="Normal"/>
    <w:rsid w:val="00222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52C"/>
  </w:style>
  <w:style w:type="paragraph" w:styleId="Quote">
    <w:name w:val="Quote"/>
    <w:basedOn w:val="Heading1"/>
    <w:link w:val="QuoteChar"/>
    <w:qFormat/>
    <w:rsid w:val="00222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52C"/>
    <w:pPr>
      <w:pageBreakBefore/>
    </w:pPr>
  </w:style>
  <w:style w:type="paragraph" w:customStyle="1" w:styleId="Border">
    <w:name w:val="Border"/>
    <w:basedOn w:val="Normal"/>
    <w:qFormat/>
    <w:rsid w:val="00222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52C"/>
    <w:rPr>
      <w:u w:val="single"/>
    </w:rPr>
  </w:style>
  <w:style w:type="character" w:customStyle="1" w:styleId="BoldandItalics">
    <w:name w:val="Bold and Italics"/>
    <w:qFormat/>
    <w:rsid w:val="0022252C"/>
    <w:rPr>
      <w:b/>
      <w:i/>
      <w:u w:val="none"/>
    </w:rPr>
  </w:style>
  <w:style w:type="paragraph" w:styleId="BalloonText">
    <w:name w:val="Balloon Text"/>
    <w:basedOn w:val="Normal"/>
    <w:link w:val="BalloonTextChar"/>
    <w:rsid w:val="00222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5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41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5213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MSS025006 Collect and evaluate groundwater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2018-12-21T01:54:00Z</dcterms:created>
  <dcterms:modified xsi:type="dcterms:W3CDTF">2018-12-21T01:54:00Z</dcterms:modified>
</cp:coreProperties>
</file>