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30C" w:rsidP="00372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MSS024033 Identify environmentally significant organisms</w:t>
      </w:r>
      <w:r>
        <w:fldChar w:fldCharType="end"/>
      </w:r>
    </w:p>
    <w:p w:rsidR="0037230C" w:rsidP="0037230C">
      <w:pPr>
        <w:pStyle w:val="Version"/>
        <w:sectPr w:rsidSect="004D3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817" w:rsidP="004D3817">
      <w:pPr>
        <w:pStyle w:val="SuperHeading"/>
      </w:pPr>
      <w:r w:rsidRPr="004D3817">
        <w:t>Assessment Requirements for MSS024033 Identify environmentally significant organisms</w:t>
      </w:r>
    </w:p>
    <w:p w:rsidR="00000000" w:rsidRPr="004D3817" w:rsidP="004D3817">
      <w:pPr>
        <w:pStyle w:val="Heading1"/>
      </w:pPr>
      <w:bookmarkStart w:id="1" w:name="O_1263342"/>
      <w:bookmarkEnd w:id="1"/>
      <w:r w:rsidRPr="004D3817">
        <w:t>Modification History</w:t>
      </w:r>
    </w:p>
    <w:p w:rsidR="00000000" w:rsidRPr="004D3817" w:rsidP="0037230C">
      <w:pPr>
        <w:pStyle w:val="BodyText"/>
      </w:pPr>
      <w:r w:rsidRPr="004D3817">
        <w:t>Release 1. Unit code changed. Unit title changed. Applicatio</w:t>
      </w:r>
      <w:r w:rsidRPr="004D3817">
        <w:t>n changed. Elements changed. Performance Criteria changed. Foundation Skills populated. Assessment Requirements changed. Supersedes and is equivalent to MSS024022 Perform environmental biological techniques.</w:t>
      </w:r>
    </w:p>
    <w:p w:rsidR="00000000" w:rsidRPr="004D3817" w:rsidP="004D3817">
      <w:pPr>
        <w:pStyle w:val="Heading1"/>
      </w:pPr>
      <w:bookmarkStart w:id="2" w:name="O_1263343"/>
      <w:bookmarkEnd w:id="2"/>
      <w:r w:rsidRPr="004D3817">
        <w:t>Performance Evidence</w:t>
      </w:r>
    </w:p>
    <w:p w:rsidR="00000000" w:rsidRPr="004D3817" w:rsidP="0037230C">
      <w:pPr>
        <w:pStyle w:val="BodyText"/>
      </w:pPr>
      <w:r w:rsidRPr="004D3817">
        <w:t>There mu</w:t>
      </w:r>
      <w:r w:rsidRPr="004D3817">
        <w:t>st be evidence the candidate has completed the tasks outlined in the elements and performance criteria of this unit, and demonstrated the ability to: </w:t>
      </w:r>
    </w:p>
    <w:p w:rsidR="00000000" w:rsidRPr="004D3817" w:rsidP="004D3817">
      <w:pPr>
        <w:pStyle w:val="ListBullet"/>
      </w:pPr>
      <w:r w:rsidRPr="004D3817">
        <w:t xml:space="preserve">classify and determine environmental significance of at least 2 (micro)organisms. </w:t>
      </w:r>
    </w:p>
    <w:p w:rsidR="00000000" w:rsidRPr="004D3817" w:rsidP="004D3817">
      <w:pPr>
        <w:pStyle w:val="AllowPageBreak"/>
      </w:pPr>
    </w:p>
    <w:p w:rsidR="00000000" w:rsidRPr="004D3817" w:rsidP="004D3817">
      <w:pPr>
        <w:pStyle w:val="Heading1"/>
      </w:pPr>
      <w:bookmarkStart w:id="3" w:name="O_1263344"/>
      <w:bookmarkEnd w:id="3"/>
      <w:r w:rsidRPr="004D3817">
        <w:t>Kn</w:t>
      </w:r>
      <w:r w:rsidRPr="004D3817">
        <w:t>owledge Evidence</w:t>
      </w:r>
    </w:p>
    <w:p w:rsidR="00000000" w:rsidRPr="004D3817" w:rsidP="0037230C">
      <w:pPr>
        <w:pStyle w:val="BodyText"/>
      </w:pPr>
      <w:r w:rsidRPr="004D3817">
        <w:t>There must be evidence the candidate has knowledge of:</w:t>
      </w:r>
    </w:p>
    <w:p w:rsidR="00000000" w:rsidRPr="004D3817" w:rsidP="004D3817">
      <w:pPr>
        <w:pStyle w:val="ListBullet"/>
      </w:pPr>
      <w:r w:rsidRPr="004D3817">
        <w:t xml:space="preserve">principles and terminology used in elementary microbiological testing, organism classification and microscopic examination </w:t>
      </w:r>
    </w:p>
    <w:p w:rsidR="00000000" w:rsidRPr="004D3817" w:rsidP="004D3817">
      <w:pPr>
        <w:pStyle w:val="ListBullet"/>
      </w:pPr>
      <w:r w:rsidRPr="004D3817">
        <w:t xml:space="preserve">sampling techniques for air, water and soil in terrestrial </w:t>
      </w:r>
      <w:r w:rsidRPr="004D3817">
        <w:t>and aquatic habitats</w:t>
      </w:r>
    </w:p>
    <w:p w:rsidR="00000000" w:rsidRPr="004D3817" w:rsidP="004D3817">
      <w:pPr>
        <w:pStyle w:val="ListBullet"/>
      </w:pPr>
      <w:r w:rsidRPr="004D3817">
        <w:t xml:space="preserve">types of samples </w:t>
      </w:r>
    </w:p>
    <w:p w:rsidR="00000000" w:rsidRPr="004D3817" w:rsidP="004D3817">
      <w:pPr>
        <w:pStyle w:val="ListBullet"/>
      </w:pPr>
      <w:r w:rsidRPr="004D3817">
        <w:t>relationship between sterile practices, hygiene procedures and the ability to obtain growth of microorganisms free of contamination</w:t>
      </w:r>
    </w:p>
    <w:p w:rsidR="00000000" w:rsidRPr="004D3817" w:rsidP="004D3817">
      <w:pPr>
        <w:pStyle w:val="ListBullet"/>
      </w:pPr>
      <w:r w:rsidRPr="004D3817">
        <w:t>importance of pure culture techniques and aseptic transfer to successful microbiologi</w:t>
      </w:r>
      <w:r w:rsidRPr="004D3817">
        <w:t>cal investigation and correct interpretation of results</w:t>
      </w:r>
    </w:p>
    <w:p w:rsidR="00000000" w:rsidRPr="004D3817" w:rsidP="004D3817">
      <w:pPr>
        <w:pStyle w:val="ListBullet"/>
      </w:pPr>
      <w:r w:rsidRPr="004D3817">
        <w:t>aseptic techniques</w:t>
      </w:r>
    </w:p>
    <w:p w:rsidR="00000000" w:rsidRPr="004D3817" w:rsidP="004D3817">
      <w:pPr>
        <w:pStyle w:val="ListBullet"/>
      </w:pPr>
      <w:r w:rsidRPr="004D3817">
        <w:t>growth requirements of microorganism cultures (including bacteria, fungi and yeasts)</w:t>
      </w:r>
    </w:p>
    <w:p w:rsidR="00000000" w:rsidRPr="004D3817" w:rsidP="004D3817">
      <w:pPr>
        <w:pStyle w:val="ListBullet"/>
      </w:pPr>
      <w:r w:rsidRPr="004D3817">
        <w:t>principles of infection control related to work health and safety (WHS), sampling and transfer o</w:t>
      </w:r>
      <w:r w:rsidRPr="004D3817">
        <w:t>f materials in microbiological investigations</w:t>
      </w:r>
    </w:p>
    <w:p w:rsidR="00000000" w:rsidRPr="004D3817" w:rsidP="004D3817">
      <w:pPr>
        <w:pStyle w:val="ListBullet"/>
      </w:pPr>
      <w:r w:rsidRPr="004D3817">
        <w:t>disinfection and sterilisation procedures used in the collection, processing and safe disposal of samples and materials</w:t>
      </w:r>
    </w:p>
    <w:p w:rsidR="00000000" w:rsidRPr="004D3817" w:rsidP="004D3817">
      <w:pPr>
        <w:pStyle w:val="ListBullet"/>
      </w:pPr>
      <w:r w:rsidRPr="004D3817">
        <w:t>cleaning and sanitising requirements of equipment and work area and effects of physical an</w:t>
      </w:r>
      <w:r w:rsidRPr="004D3817">
        <w:t>d chemical agents on microbial growth and death</w:t>
      </w:r>
    </w:p>
    <w:p w:rsidR="00000000" w:rsidRPr="004D3817" w:rsidP="004D3817">
      <w:pPr>
        <w:pStyle w:val="ListBullet"/>
      </w:pPr>
      <w:r w:rsidRPr="004D3817">
        <w:t>parts and functions of common microscopes, set-up procedures and common causes and solutions for suboptimal performance</w:t>
      </w:r>
    </w:p>
    <w:p w:rsidR="00000000" w:rsidRPr="004D3817" w:rsidP="004D3817">
      <w:pPr>
        <w:pStyle w:val="ListBullet"/>
      </w:pPr>
      <w:r w:rsidRPr="004D3817">
        <w:t>microscopy techniques</w:t>
      </w:r>
    </w:p>
    <w:p w:rsidR="00000000" w:rsidRPr="004D3817" w:rsidP="004D3817">
      <w:pPr>
        <w:pStyle w:val="ListBullet"/>
      </w:pPr>
      <w:r w:rsidRPr="004D3817">
        <w:t>cell theory, basic structure and function of cells and organelles</w:t>
      </w:r>
    </w:p>
    <w:p w:rsidR="00000000" w:rsidRPr="004D3817" w:rsidP="004D3817">
      <w:pPr>
        <w:pStyle w:val="ListBullet"/>
      </w:pPr>
      <w:r w:rsidRPr="004D3817">
        <w:t xml:space="preserve">cell physiology and processes, including simple and facilitated diffusion, plasmolysis, osmosis, tonicity, active transport, energy production, mitosis, motility, phagocytosis and pinocystosis </w:t>
      </w:r>
    </w:p>
    <w:p w:rsidR="00000000" w:rsidRPr="004D3817" w:rsidP="004D3817">
      <w:pPr>
        <w:pStyle w:val="ListBullet"/>
      </w:pPr>
      <w:r w:rsidRPr="004D3817">
        <w:t>purposes and mechanisms of staining (including Gram positive a</w:t>
      </w:r>
      <w:r w:rsidRPr="004D3817">
        <w:t>nd negative)</w:t>
      </w:r>
    </w:p>
    <w:p w:rsidR="00000000" w:rsidRPr="004D3817" w:rsidP="004D3817">
      <w:pPr>
        <w:pStyle w:val="ListBullet"/>
      </w:pPr>
      <w:r w:rsidRPr="004D3817">
        <w:t>equipment, materials and systems used</w:t>
      </w:r>
    </w:p>
    <w:p w:rsidR="00000000" w:rsidRPr="004D3817" w:rsidP="004D3817">
      <w:pPr>
        <w:pStyle w:val="ListBullet"/>
      </w:pPr>
      <w:r w:rsidRPr="004D3817">
        <w:t xml:space="preserve">artefacts or image aberrations attributable to misalignment or obstruction of light paths or condensers used in bright field, dark ground, and phase contrast microscopy, or with other steps in microscopic </w:t>
      </w:r>
      <w:r w:rsidRPr="004D3817">
        <w:t>examinations</w:t>
      </w:r>
    </w:p>
    <w:p w:rsidR="00000000" w:rsidRPr="004D3817" w:rsidP="004D3817">
      <w:pPr>
        <w:pStyle w:val="ListBullet"/>
      </w:pPr>
      <w:r w:rsidRPr="004D3817">
        <w:t>legislative requirements, standards and codes of practice relevant to collecting and examining biological samples</w:t>
      </w:r>
    </w:p>
    <w:p w:rsidR="00000000" w:rsidRPr="004D3817" w:rsidP="004D3817">
      <w:pPr>
        <w:pStyle w:val="ListBullet"/>
      </w:pPr>
      <w:r w:rsidRPr="004D3817">
        <w:t>workplace and legal traceability requirements</w:t>
      </w:r>
    </w:p>
    <w:p w:rsidR="00000000" w:rsidRPr="004D3817" w:rsidP="004D3817">
      <w:pPr>
        <w:pStyle w:val="ListBullet"/>
      </w:pPr>
      <w:r w:rsidRPr="004D3817">
        <w:t>hazards, controls and safety procedures associated with handling microorganisms.</w:t>
      </w:r>
    </w:p>
    <w:p w:rsidR="00000000" w:rsidRPr="004D3817" w:rsidP="004D3817">
      <w:pPr>
        <w:pStyle w:val="AllowPageBreak"/>
      </w:pPr>
    </w:p>
    <w:p w:rsidR="00000000" w:rsidRPr="004D3817" w:rsidP="004D3817">
      <w:pPr>
        <w:pStyle w:val="Heading1"/>
      </w:pPr>
      <w:bookmarkStart w:id="4" w:name="O_1263345"/>
      <w:bookmarkEnd w:id="4"/>
      <w:r w:rsidRPr="004D3817">
        <w:t>Assessment Conditions</w:t>
      </w:r>
    </w:p>
    <w:p w:rsidR="00000000" w:rsidRPr="004D3817" w:rsidP="0037230C">
      <w:pPr>
        <w:pStyle w:val="BodyText"/>
      </w:pPr>
      <w:r w:rsidRPr="004D381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D3817" w:rsidP="004D3817">
      <w:pPr>
        <w:pStyle w:val="ListBullet"/>
      </w:pPr>
      <w:r w:rsidRPr="004D3817">
        <w:t>use of facilities, equipmen</w:t>
      </w:r>
      <w:r w:rsidRPr="004D3817">
        <w:t xml:space="preserve">t and resources, including: </w:t>
      </w:r>
    </w:p>
    <w:p w:rsidR="00000000" w:rsidRPr="004D3817" w:rsidP="004D3817">
      <w:pPr>
        <w:pStyle w:val="ListBullet2"/>
      </w:pPr>
      <w:r w:rsidRPr="004D3817">
        <w:t xml:space="preserve">standard microbiology laboratory </w:t>
      </w:r>
    </w:p>
    <w:p w:rsidR="00000000" w:rsidRPr="004D3817" w:rsidP="004D3817">
      <w:pPr>
        <w:pStyle w:val="ListBullet2"/>
      </w:pPr>
      <w:r w:rsidRPr="004D3817">
        <w:t>sampling and testing equipment, materials and reagents</w:t>
      </w:r>
    </w:p>
    <w:p w:rsidR="00000000" w:rsidRPr="004D3817" w:rsidP="004D3817">
      <w:pPr>
        <w:pStyle w:val="ListBullet2"/>
      </w:pPr>
      <w:r w:rsidRPr="004D3817">
        <w:t>work request, workplace procedures, sampling and test methods, equipment manuals, safety procedures</w:t>
      </w:r>
    </w:p>
    <w:p w:rsidR="00000000" w:rsidRPr="004D3817" w:rsidP="004D3817">
      <w:pPr>
        <w:pStyle w:val="ListBullet"/>
      </w:pPr>
      <w:r w:rsidRPr="004D3817">
        <w:t>modelling of industry operating conditions.</w:t>
      </w:r>
    </w:p>
    <w:p w:rsidR="00000000" w:rsidRPr="004D3817" w:rsidP="0037230C">
      <w:pPr>
        <w:pStyle w:val="BodyText"/>
      </w:pPr>
      <w:r w:rsidRPr="004D3817">
        <w:t>Biological samples and organisms must be of a risk category that is compatible with laboratory as defined in AS/NZS 2243.3 Safety in laboratories - Microbiological safety and containment.</w:t>
      </w:r>
    </w:p>
    <w:p w:rsidR="00000000" w:rsidRPr="004D3817" w:rsidP="0037230C">
      <w:pPr>
        <w:pStyle w:val="BodyText"/>
      </w:pPr>
      <w:r w:rsidRPr="004D3817">
        <w:t>Assessors must satisfy t</w:t>
      </w:r>
      <w:r w:rsidRPr="004D3817">
        <w:t>he NVR/AQTF mandatory competency requirements for assessors.</w:t>
      </w:r>
    </w:p>
    <w:p w:rsidR="00000000" w:rsidRPr="004D3817" w:rsidP="004D3817">
      <w:pPr>
        <w:pStyle w:val="Heading1"/>
      </w:pPr>
      <w:bookmarkStart w:id="5" w:name="O_1263348"/>
      <w:bookmarkEnd w:id="5"/>
      <w:r w:rsidRPr="004D3817">
        <w:t>Links</w:t>
      </w:r>
    </w:p>
    <w:p w:rsidR="00000000" w:rsidRPr="004D3817" w:rsidP="0037230C">
      <w:pPr>
        <w:pStyle w:val="BodyText"/>
      </w:pPr>
      <w:r w:rsidRPr="004D38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36E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3817" w:rsidP="004D3817"/>
    <w:sectPr w:rsidSect="004D38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17" w:rsidRPr="0037230C" w:rsidP="00372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C" w:rsidP="004D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230C" w:rsidP="004D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230C" w:rsidP="004D3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817" w:rsidRPr="0037230C" w:rsidP="00372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30C" w:rsidRPr="002D2AF8" w:rsidP="004D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MSS024033 Identify environmentally significant organisms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7230C" w:rsidP="004D3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84C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8E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E0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817"/>
  </w:style>
  <w:style w:type="character" w:customStyle="1" w:styleId="Heading1Char">
    <w:name w:val="Heading 1 Char"/>
    <w:basedOn w:val="DefaultParagraphFont"/>
    <w:link w:val="Heading1"/>
    <w:rsid w:val="004D3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8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817"/>
    <w:rPr>
      <w:b/>
      <w:spacing w:val="0"/>
    </w:rPr>
  </w:style>
  <w:style w:type="paragraph" w:customStyle="1" w:styleId="SuperTitle">
    <w:name w:val="SuperTitle"/>
    <w:basedOn w:val="Title"/>
    <w:rsid w:val="004D3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817"/>
    <w:rPr>
      <w:i/>
    </w:rPr>
  </w:style>
  <w:style w:type="paragraph" w:styleId="Caption">
    <w:name w:val="caption"/>
    <w:basedOn w:val="BodyText"/>
    <w:next w:val="Normal"/>
    <w:qFormat/>
    <w:rsid w:val="004D3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817"/>
  </w:style>
  <w:style w:type="paragraph" w:styleId="TableofFigures">
    <w:name w:val="table of figures"/>
    <w:basedOn w:val="Normal"/>
    <w:next w:val="Normal"/>
    <w:semiHidden/>
    <w:rsid w:val="004D3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817"/>
    <w:rPr>
      <w:rFonts w:ascii="Wingdings" w:hAnsi="Wingdings"/>
    </w:rPr>
  </w:style>
  <w:style w:type="paragraph" w:customStyle="1" w:styleId="TableHeading">
    <w:name w:val="Table Heading"/>
    <w:basedOn w:val="HeadingBase"/>
    <w:rsid w:val="004D3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817"/>
    <w:rPr>
      <w:color w:val="0033CC"/>
      <w:u w:val="none"/>
    </w:rPr>
  </w:style>
  <w:style w:type="paragraph" w:customStyle="1" w:styleId="BodyTextRight">
    <w:name w:val="Body Text Right"/>
    <w:basedOn w:val="BodyText"/>
    <w:rsid w:val="004D3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817"/>
    <w:rPr>
      <w:sz w:val="32"/>
    </w:rPr>
  </w:style>
  <w:style w:type="paragraph" w:customStyle="1" w:styleId="HeadingProcedure">
    <w:name w:val="Heading Procedure"/>
    <w:basedOn w:val="HeadingBase"/>
    <w:next w:val="Normal"/>
    <w:rsid w:val="004D3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817"/>
    <w:pPr>
      <w:spacing w:before="60" w:after="60"/>
    </w:pPr>
  </w:style>
  <w:style w:type="paragraph" w:styleId="ListContinue">
    <w:name w:val="List Continue"/>
    <w:basedOn w:val="List"/>
    <w:rsid w:val="004D3817"/>
    <w:pPr>
      <w:ind w:firstLine="0"/>
    </w:pPr>
  </w:style>
  <w:style w:type="paragraph" w:customStyle="1" w:styleId="ListNote">
    <w:name w:val="List Note"/>
    <w:basedOn w:val="List"/>
    <w:rsid w:val="004D3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817"/>
    <w:rPr>
      <w:rFonts w:ascii="Courier New" w:hAnsi="Courier New"/>
    </w:rPr>
  </w:style>
  <w:style w:type="paragraph" w:customStyle="1" w:styleId="NoteBullet">
    <w:name w:val="Note Bullet"/>
    <w:basedOn w:val="Note"/>
    <w:rsid w:val="004D3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817"/>
    <w:rPr>
      <w:b/>
      <w:smallCaps/>
    </w:rPr>
  </w:style>
  <w:style w:type="paragraph" w:customStyle="1" w:styleId="TableListNumber">
    <w:name w:val="Table List Number"/>
    <w:basedOn w:val="ListNumber"/>
    <w:rsid w:val="004D3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817"/>
    <w:pPr>
      <w:numPr>
        <w:numId w:val="9"/>
      </w:numPr>
    </w:pPr>
  </w:style>
  <w:style w:type="paragraph" w:customStyle="1" w:styleId="ListAlpha2">
    <w:name w:val="List Alpha 2"/>
    <w:basedOn w:val="List2"/>
    <w:rsid w:val="004D3817"/>
    <w:pPr>
      <w:numPr>
        <w:numId w:val="8"/>
      </w:numPr>
    </w:pPr>
  </w:style>
  <w:style w:type="paragraph" w:styleId="List2">
    <w:name w:val="List 2"/>
    <w:basedOn w:val="BodyText"/>
    <w:rsid w:val="004D3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817"/>
    <w:pPr>
      <w:numPr>
        <w:numId w:val="4"/>
      </w:numPr>
    </w:pPr>
  </w:style>
  <w:style w:type="paragraph" w:styleId="ListContinue2">
    <w:name w:val="List Continue 2"/>
    <w:basedOn w:val="List2"/>
    <w:rsid w:val="004D3817"/>
    <w:pPr>
      <w:ind w:firstLine="0"/>
    </w:pPr>
  </w:style>
  <w:style w:type="paragraph" w:styleId="ListContinue3">
    <w:name w:val="List Continue 3"/>
    <w:basedOn w:val="List3"/>
    <w:rsid w:val="004D3817"/>
    <w:pPr>
      <w:ind w:left="1021" w:firstLine="0"/>
    </w:pPr>
  </w:style>
  <w:style w:type="paragraph" w:styleId="ListContinue4">
    <w:name w:val="List Continue 4"/>
    <w:basedOn w:val="List4"/>
    <w:rsid w:val="004D3817"/>
    <w:pPr>
      <w:ind w:firstLine="0"/>
    </w:pPr>
  </w:style>
  <w:style w:type="paragraph" w:styleId="ListContinue5">
    <w:name w:val="List Continue 5"/>
    <w:basedOn w:val="List5"/>
    <w:rsid w:val="004D3817"/>
    <w:pPr>
      <w:ind w:firstLine="0"/>
    </w:pPr>
  </w:style>
  <w:style w:type="paragraph" w:styleId="ListNumber3">
    <w:name w:val="List Number 3"/>
    <w:basedOn w:val="List3"/>
    <w:rsid w:val="004D3817"/>
    <w:pPr>
      <w:numPr>
        <w:numId w:val="5"/>
      </w:numPr>
    </w:pPr>
  </w:style>
  <w:style w:type="paragraph" w:styleId="ListNumber4">
    <w:name w:val="List Number 4"/>
    <w:basedOn w:val="List4"/>
    <w:rsid w:val="004D3817"/>
    <w:pPr>
      <w:numPr>
        <w:numId w:val="6"/>
      </w:numPr>
    </w:pPr>
  </w:style>
  <w:style w:type="paragraph" w:styleId="ListNumber5">
    <w:name w:val="List Number 5"/>
    <w:basedOn w:val="List5"/>
    <w:rsid w:val="004D3817"/>
    <w:pPr>
      <w:numPr>
        <w:numId w:val="7"/>
      </w:numPr>
    </w:pPr>
  </w:style>
  <w:style w:type="paragraph" w:styleId="BlockText">
    <w:name w:val="Block Text"/>
    <w:basedOn w:val="Normal"/>
    <w:rsid w:val="004D3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817"/>
    <w:rPr>
      <w:sz w:val="16"/>
      <w:vertAlign w:val="superscript"/>
    </w:rPr>
  </w:style>
  <w:style w:type="character" w:customStyle="1" w:styleId="Symbols">
    <w:name w:val="Symbols"/>
    <w:basedOn w:val="DefaultParagraphFont"/>
    <w:rsid w:val="004D3817"/>
    <w:rPr>
      <w:rFonts w:ascii="Symbol" w:hAnsi="Symbol"/>
    </w:rPr>
  </w:style>
  <w:style w:type="character" w:customStyle="1" w:styleId="MenuOptions">
    <w:name w:val="Menu Options"/>
    <w:basedOn w:val="DefaultParagraphFont"/>
    <w:rsid w:val="004D3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817"/>
    <w:rPr>
      <w:b/>
    </w:rPr>
  </w:style>
  <w:style w:type="character" w:customStyle="1" w:styleId="Underlined">
    <w:name w:val="Underlined"/>
    <w:basedOn w:val="DefaultParagraphFont"/>
    <w:rsid w:val="004D3817"/>
    <w:rPr>
      <w:u w:val="single"/>
    </w:rPr>
  </w:style>
  <w:style w:type="paragraph" w:customStyle="1" w:styleId="TableBodyTextRight">
    <w:name w:val="Table Body Text Right"/>
    <w:basedOn w:val="TableBodyText"/>
    <w:rsid w:val="004D3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817"/>
    <w:rPr>
      <w:sz w:val="18"/>
    </w:rPr>
  </w:style>
  <w:style w:type="paragraph" w:customStyle="1" w:styleId="BodySmallRight">
    <w:name w:val="Body Small Right"/>
    <w:basedOn w:val="BodyTextRight"/>
    <w:rsid w:val="004D3817"/>
    <w:rPr>
      <w:sz w:val="18"/>
      <w:szCs w:val="18"/>
    </w:rPr>
  </w:style>
  <w:style w:type="paragraph" w:customStyle="1" w:styleId="MarginEdition">
    <w:name w:val="Margin Edition"/>
    <w:basedOn w:val="MarginNote"/>
    <w:rsid w:val="004D3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817"/>
    <w:rPr>
      <w:sz w:val="2"/>
      <w:szCs w:val="2"/>
    </w:rPr>
  </w:style>
  <w:style w:type="character" w:customStyle="1" w:styleId="Small">
    <w:name w:val="Small"/>
    <w:basedOn w:val="DefaultParagraphFont"/>
    <w:rsid w:val="004D3817"/>
    <w:rPr>
      <w:sz w:val="16"/>
    </w:rPr>
  </w:style>
  <w:style w:type="paragraph" w:customStyle="1" w:styleId="WideTable">
    <w:name w:val="Wide Table"/>
    <w:basedOn w:val="Normal"/>
    <w:rsid w:val="004D3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817"/>
  </w:style>
  <w:style w:type="paragraph" w:styleId="Quote">
    <w:name w:val="Quote"/>
    <w:basedOn w:val="Heading1"/>
    <w:link w:val="QuoteChar"/>
    <w:qFormat/>
    <w:rsid w:val="004D3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817"/>
    <w:pPr>
      <w:pageBreakBefore/>
    </w:pPr>
  </w:style>
  <w:style w:type="paragraph" w:customStyle="1" w:styleId="Border">
    <w:name w:val="Border"/>
    <w:basedOn w:val="Normal"/>
    <w:qFormat/>
    <w:rsid w:val="004D3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817"/>
    <w:rPr>
      <w:u w:val="single"/>
    </w:rPr>
  </w:style>
  <w:style w:type="character" w:customStyle="1" w:styleId="BoldandItalics">
    <w:name w:val="Bold and Italics"/>
    <w:qFormat/>
    <w:rsid w:val="004D3817"/>
    <w:rPr>
      <w:b/>
      <w:i/>
      <w:u w:val="none"/>
    </w:rPr>
  </w:style>
  <w:style w:type="paragraph" w:styleId="BalloonText">
    <w:name w:val="Balloon Text"/>
    <w:basedOn w:val="Normal"/>
    <w:link w:val="BalloonTextChar"/>
    <w:rsid w:val="004D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817"/>
    <w:pPr>
      <w:spacing w:before="0" w:after="0"/>
    </w:pPr>
  </w:style>
  <w:style w:type="paragraph" w:customStyle="1" w:styleId="BodyTextBold">
    <w:name w:val="Body Text Bold"/>
    <w:basedOn w:val="BodyText"/>
    <w:qFormat/>
    <w:rsid w:val="004D3817"/>
    <w:rPr>
      <w:b/>
    </w:rPr>
  </w:style>
  <w:style w:type="character" w:styleId="Hyperlink">
    <w:name w:val="Hyperlink"/>
    <w:basedOn w:val="DefaultParagraphFont"/>
    <w:uiPriority w:val="99"/>
    <w:unhideWhenUsed/>
    <w:rsid w:val="00372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3394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MSS024033 Identify environmentally significant organisms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