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2878" w:rsidP="00B828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MSS024015 Apply an understanding of environmental principles to a site</w:t>
      </w:r>
      <w:r>
        <w:fldChar w:fldCharType="end"/>
      </w:r>
    </w:p>
    <w:p w:rsidR="00B82878" w:rsidP="00B82878">
      <w:pPr>
        <w:pStyle w:val="Version"/>
        <w:sectPr w:rsidSect="001664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64D2" w:rsidP="001664D2">
      <w:pPr>
        <w:pStyle w:val="SuperHeading"/>
      </w:pPr>
      <w:r w:rsidRPr="001664D2">
        <w:t>MSS024015 Apply an understanding of environmental principles to a site</w:t>
      </w:r>
    </w:p>
    <w:p w:rsidR="00000000" w:rsidRPr="001664D2" w:rsidP="001664D2">
      <w:pPr>
        <w:pStyle w:val="Heading1"/>
      </w:pPr>
      <w:bookmarkStart w:id="1" w:name="O_989559"/>
      <w:bookmarkEnd w:id="1"/>
      <w:r w:rsidRPr="001664D2">
        <w:t>Modification History</w:t>
      </w:r>
    </w:p>
    <w:p w:rsidR="00000000" w:rsidRPr="001664D2" w:rsidP="00B82878">
      <w:pPr>
        <w:pStyle w:val="BodyText"/>
      </w:pPr>
      <w:r w:rsidRPr="001664D2">
        <w:t>Release 1. Updated unit code. Changes to performance criteria. Range of conditions removed. Assessment requirements amended. Equivalent outcome.</w:t>
      </w:r>
    </w:p>
    <w:p w:rsidR="00000000" w:rsidRPr="001664D2" w:rsidP="001664D2">
      <w:pPr>
        <w:pStyle w:val="Heading1"/>
      </w:pPr>
      <w:bookmarkStart w:id="2" w:name="O_989560"/>
      <w:bookmarkEnd w:id="2"/>
      <w:r w:rsidRPr="001664D2">
        <w:t>Application</w:t>
      </w:r>
    </w:p>
    <w:p w:rsidR="00000000" w:rsidRPr="001664D2" w:rsidP="00B82878">
      <w:pPr>
        <w:pStyle w:val="BodyText"/>
      </w:pPr>
      <w:r w:rsidRPr="001664D2">
        <w:t>This unit describes the skills and knowledge to read the landscape in terms of the physical and biological components of the environment and the ecological linkages in operation at a site. Personnel are required to apply basic p</w:t>
      </w:r>
      <w:r w:rsidRPr="001664D2">
        <w:t>rinciples of geomorphology, hydrology and ecology in a systematic, scientific appraisal of site condition. This requires sufficient knowledge of chemistry, physics, geology and biology to support a scientific approach to field ecology.</w:t>
      </w:r>
    </w:p>
    <w:p w:rsidR="00000000" w:rsidRPr="001664D2" w:rsidP="00B82878">
      <w:pPr>
        <w:pStyle w:val="BodyText"/>
      </w:pPr>
      <w:r w:rsidRPr="001664D2">
        <w:t>This unit of compete</w:t>
      </w:r>
      <w:r w:rsidRPr="001664D2">
        <w:t>ncy is applicable to environmental technicians working in a range of industry sectors, such as environmental monitoring, and sampling; environmental compliance, auditing and inspection; groundwater and clean water; water treatment, storm and wastewater man</w:t>
      </w:r>
      <w:r w:rsidRPr="001664D2">
        <w:t>agement; solid and hazardous waste management; site remediation; management of contaminated sites; geotechnical services and civil engineering; and natural resource management.</w:t>
      </w:r>
    </w:p>
    <w:p w:rsidR="00000000" w:rsidRPr="001664D2" w:rsidP="00B82878">
      <w:pPr>
        <w:pStyle w:val="BodyText"/>
      </w:pPr>
      <w:r w:rsidRPr="001664D2">
        <w:t>No licensing or certification requirements exist at the time of publication. Re</w:t>
      </w:r>
      <w:r w:rsidRPr="001664D2">
        <w:t>levant legislation, industry standards and codes of practice within Australia must be applied.</w:t>
      </w:r>
    </w:p>
    <w:p w:rsidR="00000000" w:rsidRPr="001664D2" w:rsidP="001664D2">
      <w:pPr>
        <w:pStyle w:val="Heading1"/>
      </w:pPr>
      <w:bookmarkStart w:id="3" w:name="O_989561"/>
      <w:bookmarkEnd w:id="3"/>
      <w:r w:rsidRPr="001664D2">
        <w:t>Pre-requisite Unit</w:t>
      </w:r>
    </w:p>
    <w:p w:rsidR="00000000" w:rsidRPr="001664D2" w:rsidP="00B82878">
      <w:pPr>
        <w:pStyle w:val="BodyText"/>
      </w:pPr>
      <w:r w:rsidRPr="001664D2">
        <w:t>Nil</w:t>
      </w:r>
    </w:p>
    <w:p w:rsidR="00000000" w:rsidRPr="001664D2" w:rsidP="001664D2">
      <w:pPr>
        <w:pStyle w:val="Heading1"/>
      </w:pPr>
      <w:bookmarkStart w:id="4" w:name="O_989562"/>
      <w:bookmarkEnd w:id="4"/>
      <w:r w:rsidRPr="001664D2">
        <w:t>Competency Field</w:t>
      </w:r>
    </w:p>
    <w:p w:rsidR="00000000" w:rsidRPr="001664D2" w:rsidP="00B82878">
      <w:pPr>
        <w:pStyle w:val="BodyText"/>
      </w:pPr>
      <w:r w:rsidRPr="001664D2">
        <w:t>Environmental monitoring</w:t>
      </w:r>
    </w:p>
    <w:p w:rsidR="00000000" w:rsidRPr="001664D2" w:rsidP="001664D2">
      <w:pPr>
        <w:pStyle w:val="Heading1"/>
      </w:pPr>
      <w:bookmarkStart w:id="5" w:name="O_989563"/>
      <w:bookmarkEnd w:id="5"/>
      <w:r w:rsidRPr="001664D2">
        <w:t>Unit Sector</w:t>
      </w:r>
    </w:p>
    <w:p w:rsidR="00000000" w:rsidRPr="001664D2" w:rsidP="00B82878">
      <w:pPr>
        <w:pStyle w:val="BodyText"/>
      </w:pPr>
      <w:r w:rsidRPr="001664D2">
        <w:t xml:space="preserve">Environmental </w:t>
      </w:r>
    </w:p>
    <w:p w:rsidR="00000000" w:rsidRPr="001664D2" w:rsidP="001664D2">
      <w:pPr>
        <w:pStyle w:val="Heading1"/>
      </w:pPr>
      <w:bookmarkStart w:id="6" w:name="O_989564"/>
      <w:bookmarkEnd w:id="6"/>
      <w:r w:rsidRPr="001664D2">
        <w:t>E</w:t>
      </w:r>
      <w:r w:rsidRPr="001664D2">
        <w:t>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16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Performance criteria describe the performance needed to demonstrate achievement of the element.</w:t>
            </w:r>
          </w:p>
        </w:tc>
      </w:tr>
      <w:tr w:rsidTr="0016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4D2" w:rsidP="001664D2">
            <w:pPr>
              <w:pStyle w:val="BodyText"/>
            </w:pPr>
            <w:r w:rsidRPr="001664D2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rPr>
                <w:rStyle w:val="SpecialBold"/>
              </w:rPr>
              <w:t xml:space="preserve">Prepare for site </w:t>
            </w:r>
            <w:r w:rsidRPr="001664D2">
              <w:rPr>
                <w:rStyle w:val="SpecialBold"/>
              </w:rPr>
              <w:t>inspection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 xml:space="preserve">Read and use maps, photos and related documentation to </w:t>
            </w:r>
            <w:r w:rsidRPr="001664D2">
              <w:t>gain a preliminary understanding of site features</w:t>
            </w:r>
          </w:p>
        </w:tc>
      </w:tr>
      <w:tr w:rsidTr="0016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Collect site-specific or regional data on expected flora, fauna, soils and climate</w:t>
            </w:r>
          </w:p>
        </w:tc>
      </w:tr>
      <w:tr w:rsidTr="0016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Access and read site history and previous environmental or ecological studies</w:t>
            </w:r>
          </w:p>
        </w:tc>
      </w:tr>
      <w:tr w:rsidTr="0016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Access and read all emergency plans, risk assessments, and safety and environmental management requirements associated with the field activities</w:t>
            </w:r>
          </w:p>
        </w:tc>
      </w:tr>
      <w:tr w:rsidTr="0016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Access and read leg</w:t>
            </w:r>
            <w:r w:rsidRPr="001664D2">
              <w:t>islative and planning instruments applicable to current and future site usage</w:t>
            </w:r>
          </w:p>
        </w:tc>
      </w:tr>
      <w:tr w:rsidTr="0016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Confirm site access requirements and identify potential site hazards</w:t>
            </w:r>
          </w:p>
        </w:tc>
      </w:tr>
      <w:tr w:rsidTr="0016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</w:p>
        </w:tc>
      </w:tr>
      <w:tr w:rsidTr="0016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4D2" w:rsidP="001664D2">
            <w:pPr>
              <w:pStyle w:val="BodyText"/>
            </w:pPr>
            <w:r w:rsidRPr="001664D2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rPr>
                <w:rStyle w:val="SpecialBold"/>
              </w:rPr>
              <w:t>Conduct initial site survey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Sketch, map or photograph the site</w:t>
            </w:r>
          </w:p>
        </w:tc>
      </w:tr>
      <w:tr w:rsidTr="0016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Observe and record the surface geology and geomorphology of the site</w:t>
            </w:r>
          </w:p>
        </w:tc>
      </w:tr>
      <w:tr w:rsidTr="0016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Observe and record hydrology of the site</w:t>
            </w:r>
          </w:p>
        </w:tc>
      </w:tr>
      <w:tr w:rsidTr="0016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Observe and record the major flora of the site</w:t>
            </w:r>
          </w:p>
        </w:tc>
      </w:tr>
      <w:tr w:rsidTr="0016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Observe and record evidence of site fauna</w:t>
            </w:r>
          </w:p>
        </w:tc>
      </w:tr>
      <w:tr w:rsidTr="0016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Observe and record infrastructure and other modifications to the site</w:t>
            </w:r>
          </w:p>
        </w:tc>
      </w:tr>
      <w:tr w:rsidTr="0016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Assess the potential for presence of cultural and indigenous heritage items and record findings</w:t>
            </w:r>
          </w:p>
        </w:tc>
      </w:tr>
      <w:tr w:rsidTr="0016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Check for evidence of illegal or inappropriate activities</w:t>
            </w:r>
          </w:p>
        </w:tc>
      </w:tr>
      <w:tr w:rsidTr="0016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</w:p>
        </w:tc>
      </w:tr>
      <w:tr w:rsidTr="0016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4D2" w:rsidP="001664D2">
            <w:pPr>
              <w:pStyle w:val="BodyText"/>
            </w:pPr>
            <w:r w:rsidRPr="001664D2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rPr>
                <w:rStyle w:val="SpecialBold"/>
              </w:rPr>
              <w:t>Make an initial assessment of site condition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Use geomorphological and hydrological observations to describe surface condition and infer potential future impacts</w:t>
            </w:r>
          </w:p>
        </w:tc>
      </w:tr>
      <w:tr w:rsidTr="0016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Make inferences on apparent ecological health of the site to plan for an initial ecological study of the site</w:t>
            </w:r>
          </w:p>
        </w:tc>
      </w:tr>
      <w:tr w:rsidTr="0016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Determine the physical, chemical and biological parameters that would need to be measured and sampled during subsequent ecological appraisa</w:t>
            </w:r>
            <w:r w:rsidRPr="001664D2">
              <w:t>l of the site</w:t>
            </w:r>
          </w:p>
        </w:tc>
      </w:tr>
      <w:tr w:rsidTr="0016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</w:p>
        </w:tc>
      </w:tr>
      <w:tr w:rsidTr="0016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4D2" w:rsidP="001664D2">
            <w:pPr>
              <w:pStyle w:val="BodyText"/>
            </w:pPr>
            <w:r w:rsidRPr="001664D2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rPr>
                <w:rStyle w:val="SpecialBold"/>
              </w:rPr>
              <w:t>Prepare for field study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Identify and describe the biological and chemical components of interest, sampling areas and field techniques to be used</w:t>
            </w:r>
          </w:p>
        </w:tc>
      </w:tr>
      <w:tr w:rsidTr="0016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Identify, obtain and check required equipment and materials required for field study</w:t>
            </w:r>
          </w:p>
        </w:tc>
      </w:tr>
      <w:tr w:rsidTr="0016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Securely stow all field equipment in vehicle to prevent damage in transit</w:t>
            </w:r>
          </w:p>
        </w:tc>
      </w:tr>
      <w:tr w:rsidTr="0016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Safely transport all field equipment to site and prepare it for use</w:t>
            </w:r>
          </w:p>
        </w:tc>
      </w:tr>
      <w:tr w:rsidTr="0016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</w:p>
        </w:tc>
      </w:tr>
      <w:tr w:rsidTr="0016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4D2" w:rsidP="001664D2">
            <w:pPr>
              <w:pStyle w:val="BodyText"/>
            </w:pPr>
            <w:r w:rsidRPr="001664D2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rPr>
                <w:rStyle w:val="SpecialBold"/>
              </w:rPr>
              <w:t>Perform a basic ecological field study of the site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Perform ecological sampling for abundance and diversity parameters using the general techniques of transects and quadrats</w:t>
            </w:r>
          </w:p>
        </w:tc>
      </w:tr>
      <w:tr w:rsidTr="0016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Record descriptions of the habitat structure</w:t>
            </w:r>
          </w:p>
        </w:tc>
      </w:tr>
      <w:tr w:rsidTr="0016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Perform sampling for simple population, demographic and age structure parameters</w:t>
            </w:r>
          </w:p>
        </w:tc>
      </w:tr>
      <w:tr w:rsidTr="0016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Perform simple sampling and measurements on abiotic components</w:t>
            </w:r>
          </w:p>
        </w:tc>
      </w:tr>
      <w:tr w:rsidTr="0016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Perform simple targeted species sampling</w:t>
            </w:r>
          </w:p>
        </w:tc>
      </w:tr>
      <w:tr w:rsidTr="0016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Comply with legislation, policy, codes of practice and accepted workplace procedures</w:t>
            </w:r>
          </w:p>
        </w:tc>
      </w:tr>
      <w:tr w:rsidTr="0016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</w:p>
        </w:tc>
      </w:tr>
      <w:tr w:rsidTr="0016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4D2" w:rsidP="001664D2">
            <w:pPr>
              <w:pStyle w:val="BodyText"/>
            </w:pPr>
            <w:r w:rsidRPr="001664D2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rPr>
                <w:rStyle w:val="SpecialBold"/>
              </w:rPr>
              <w:t>Finalise field study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Store all samples and data safely</w:t>
            </w:r>
          </w:p>
        </w:tc>
      </w:tr>
      <w:tr w:rsidTr="0016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Rehabilitate sampling sites to render them safe and minimise environmental impacts</w:t>
            </w:r>
          </w:p>
        </w:tc>
      </w:tr>
      <w:tr w:rsidTr="0016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Clean all equipment, containers, work area and vehicles according to workplace procedures</w:t>
            </w:r>
          </w:p>
        </w:tc>
      </w:tr>
      <w:tr w:rsidTr="0016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Pack and safely transport all samples, equipment and supplies back to home base</w:t>
            </w:r>
          </w:p>
        </w:tc>
      </w:tr>
      <w:tr w:rsidTr="0016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6.5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Ensure dispatch of collected samples for subsequent analysis</w:t>
            </w:r>
          </w:p>
        </w:tc>
      </w:tr>
      <w:tr w:rsidTr="0016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6.6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Chec</w:t>
            </w:r>
            <w:r w:rsidRPr="001664D2">
              <w:t>k serviceability of all equipment before storage</w:t>
            </w:r>
          </w:p>
        </w:tc>
      </w:tr>
      <w:tr w:rsidTr="0016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</w:p>
        </w:tc>
      </w:tr>
      <w:tr w:rsidTr="0016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4D2" w:rsidP="001664D2">
            <w:pPr>
              <w:pStyle w:val="BodyText"/>
            </w:pPr>
            <w:r w:rsidRPr="001664D2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rPr>
                <w:rStyle w:val="SpecialBold"/>
              </w:rPr>
              <w:t>Process and present field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Summarise field data using simple calculations, graphs, tables and maps</w:t>
            </w:r>
          </w:p>
        </w:tc>
      </w:tr>
      <w:tr w:rsidTr="0016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Write reports that include simple conclusions and interpretations based on raw or summarised data</w:t>
            </w:r>
          </w:p>
        </w:tc>
      </w:tr>
      <w:tr w:rsidTr="0016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</w:p>
        </w:tc>
      </w:tr>
      <w:tr w:rsidTr="0016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4D2" w:rsidP="001664D2">
            <w:pPr>
              <w:pStyle w:val="BodyText"/>
            </w:pPr>
            <w:r w:rsidRPr="001664D2">
              <w:t>8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8.1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 xml:space="preserve">Use defined safe work practices and personal protective equipment (PPE) </w:t>
            </w:r>
          </w:p>
        </w:tc>
      </w:tr>
      <w:tr w:rsidTr="0016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8.2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Minimise the generation of waste</w:t>
            </w:r>
          </w:p>
        </w:tc>
      </w:tr>
      <w:tr w:rsidTr="001664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4D2">
            <w:pPr>
              <w:pStyle w:val="BodyText"/>
              <w:rPr>
                <w:lang w:val="en-NZ"/>
              </w:rPr>
            </w:pPr>
            <w:r w:rsidRPr="001664D2">
              <w:t>8.3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4D2" w:rsidP="001664D2">
            <w:pPr>
              <w:pStyle w:val="BodyText"/>
            </w:pPr>
            <w:r w:rsidRPr="001664D2">
              <w:t>Collect and dispose of all hazardous wastes safely</w:t>
            </w:r>
          </w:p>
        </w:tc>
      </w:tr>
    </w:tbl>
    <w:p w:rsidR="00000000" w:rsidRPr="001664D2" w:rsidP="001664D2">
      <w:pPr>
        <w:pStyle w:val="BodyText"/>
      </w:pPr>
    </w:p>
    <w:p w:rsidR="00000000" w:rsidRPr="001664D2" w:rsidP="001664D2">
      <w:pPr>
        <w:pStyle w:val="AllowPageBreak"/>
      </w:pPr>
    </w:p>
    <w:p w:rsidR="00000000" w:rsidRPr="001664D2" w:rsidP="001664D2">
      <w:pPr>
        <w:pStyle w:val="Heading1"/>
      </w:pPr>
      <w:bookmarkStart w:id="7" w:name="O_989565"/>
      <w:bookmarkEnd w:id="7"/>
      <w:r w:rsidRPr="001664D2">
        <w:t>Foundation Skills</w:t>
      </w:r>
    </w:p>
    <w:p w:rsidR="00000000" w:rsidRPr="001664D2" w:rsidP="00B82878">
      <w:pPr>
        <w:pStyle w:val="BodyText"/>
      </w:pPr>
      <w:r w:rsidRPr="001664D2">
        <w:t>This section describes those language, literacy, numeracy and employment skills that are essential to performance.</w:t>
      </w:r>
    </w:p>
    <w:p w:rsidR="00000000" w:rsidRPr="001664D2" w:rsidP="00B82878">
      <w:pPr>
        <w:pStyle w:val="BodyText"/>
      </w:pPr>
      <w:r w:rsidRPr="001664D2">
        <w:t>Foundation skills essential to performance are</w:t>
      </w:r>
      <w:r w:rsidRPr="001664D2">
        <w:t xml:space="preserve"> explicit in the performance criteria of this unit of competency.</w:t>
      </w:r>
    </w:p>
    <w:p w:rsidR="00000000" w:rsidRPr="001664D2" w:rsidP="001664D2">
      <w:pPr>
        <w:pStyle w:val="Heading1"/>
      </w:pPr>
      <w:bookmarkStart w:id="8" w:name="O_989567"/>
      <w:bookmarkEnd w:id="8"/>
      <w:r w:rsidRPr="001664D2">
        <w:t>Unit Mapping Information</w:t>
      </w:r>
    </w:p>
    <w:p w:rsidR="00000000" w:rsidRPr="001664D2" w:rsidP="00B82878">
      <w:pPr>
        <w:pStyle w:val="BodyText"/>
      </w:pPr>
      <w:r w:rsidRPr="001664D2">
        <w:t>Release 1. Supersedes and is equivalent to MSS024003 Apply an understanding of environmental principles to a site.</w:t>
      </w:r>
    </w:p>
    <w:p w:rsidR="00000000" w:rsidRPr="001664D2" w:rsidP="001664D2">
      <w:pPr>
        <w:pStyle w:val="Heading1"/>
      </w:pPr>
      <w:bookmarkStart w:id="9" w:name="O_989574"/>
      <w:bookmarkEnd w:id="9"/>
      <w:r w:rsidRPr="001664D2">
        <w:t>Links</w:t>
      </w:r>
    </w:p>
    <w:p w:rsidR="00000000" w:rsidRPr="001664D2" w:rsidP="00B82878">
      <w:pPr>
        <w:pStyle w:val="BodyText"/>
      </w:pPr>
      <w:r w:rsidRPr="001664D2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C728A3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1664D2" w:rsidP="001664D2"/>
    <w:sectPr w:rsidSect="001664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4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4D2" w:rsidRPr="00B82878" w:rsidP="00B828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4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878" w:rsidP="001664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2878" w:rsidP="001664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82878" w:rsidP="001664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4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8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64D2" w:rsidRPr="00B82878" w:rsidP="00B828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4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878" w:rsidRPr="002D2AF8" w:rsidP="001664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MSS024015 Apply an understanding of environmental principles to a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B82878" w:rsidP="001664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4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64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64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64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64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64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64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64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64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64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64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64D2"/>
  </w:style>
  <w:style w:type="character" w:customStyle="1" w:styleId="Heading1Char">
    <w:name w:val="Heading 1 Char"/>
    <w:basedOn w:val="DefaultParagraphFont"/>
    <w:link w:val="Heading1"/>
    <w:rsid w:val="001664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64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64D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664D2"/>
    <w:rPr>
      <w:b/>
      <w:spacing w:val="0"/>
    </w:rPr>
  </w:style>
  <w:style w:type="paragraph" w:customStyle="1" w:styleId="SuperHeading">
    <w:name w:val="SuperHeading"/>
    <w:basedOn w:val="Normal"/>
    <w:rsid w:val="001664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64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64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64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64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64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64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64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64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64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64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64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64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64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64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64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64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64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64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64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64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64D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664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64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64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64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64D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64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64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64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64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64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64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64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64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64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64D2"/>
    <w:rPr>
      <w:i/>
    </w:rPr>
  </w:style>
  <w:style w:type="paragraph" w:styleId="Caption">
    <w:name w:val="caption"/>
    <w:basedOn w:val="BodyText"/>
    <w:next w:val="Normal"/>
    <w:qFormat/>
    <w:rsid w:val="001664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64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64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64D2"/>
  </w:style>
  <w:style w:type="paragraph" w:styleId="TableofFigures">
    <w:name w:val="table of figures"/>
    <w:basedOn w:val="Normal"/>
    <w:next w:val="Normal"/>
    <w:semiHidden/>
    <w:rsid w:val="001664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64D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664D2"/>
    <w:rPr>
      <w:rFonts w:ascii="Wingdings" w:hAnsi="Wingdings"/>
    </w:rPr>
  </w:style>
  <w:style w:type="paragraph" w:customStyle="1" w:styleId="TableHeading">
    <w:name w:val="Table Heading"/>
    <w:basedOn w:val="HeadingBase"/>
    <w:rsid w:val="001664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64D2"/>
    <w:rPr>
      <w:color w:val="0033CC"/>
      <w:u w:val="none"/>
    </w:rPr>
  </w:style>
  <w:style w:type="paragraph" w:customStyle="1" w:styleId="BodyTextRight">
    <w:name w:val="Body Text Right"/>
    <w:basedOn w:val="BodyText"/>
    <w:rsid w:val="001664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64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64D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64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64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64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64D2"/>
    <w:rPr>
      <w:sz w:val="32"/>
    </w:rPr>
  </w:style>
  <w:style w:type="paragraph" w:customStyle="1" w:styleId="HeadingProcedure">
    <w:name w:val="Heading Procedure"/>
    <w:basedOn w:val="HeadingBase"/>
    <w:next w:val="Normal"/>
    <w:rsid w:val="001664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64D2"/>
    <w:pPr>
      <w:spacing w:before="60" w:after="60"/>
    </w:pPr>
  </w:style>
  <w:style w:type="paragraph" w:styleId="ListContinue">
    <w:name w:val="List Continue"/>
    <w:basedOn w:val="List"/>
    <w:rsid w:val="001664D2"/>
    <w:pPr>
      <w:ind w:firstLine="0"/>
    </w:pPr>
  </w:style>
  <w:style w:type="paragraph" w:customStyle="1" w:styleId="ListNote">
    <w:name w:val="List Note"/>
    <w:basedOn w:val="List"/>
    <w:rsid w:val="001664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64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64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64D2"/>
    <w:rPr>
      <w:rFonts w:ascii="Courier New" w:hAnsi="Courier New"/>
    </w:rPr>
  </w:style>
  <w:style w:type="paragraph" w:customStyle="1" w:styleId="NoteBullet">
    <w:name w:val="Note Bullet"/>
    <w:basedOn w:val="Note"/>
    <w:rsid w:val="001664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64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64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64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64D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664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64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64D2"/>
    <w:rPr>
      <w:b/>
      <w:smallCaps/>
    </w:rPr>
  </w:style>
  <w:style w:type="paragraph" w:customStyle="1" w:styleId="TableListNumber">
    <w:name w:val="Table List Number"/>
    <w:basedOn w:val="ListNumber"/>
    <w:rsid w:val="001664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64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64D2"/>
    <w:pPr>
      <w:numPr>
        <w:numId w:val="7"/>
      </w:numPr>
    </w:pPr>
  </w:style>
  <w:style w:type="paragraph" w:customStyle="1" w:styleId="ListAlpha2">
    <w:name w:val="List Alpha 2"/>
    <w:basedOn w:val="List2"/>
    <w:rsid w:val="001664D2"/>
    <w:pPr>
      <w:numPr>
        <w:numId w:val="6"/>
      </w:numPr>
    </w:pPr>
  </w:style>
  <w:style w:type="paragraph" w:styleId="List2">
    <w:name w:val="List 2"/>
    <w:basedOn w:val="BodyText"/>
    <w:rsid w:val="001664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64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64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64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64D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64D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664D2"/>
    <w:pPr>
      <w:numPr>
        <w:numId w:val="2"/>
      </w:numPr>
    </w:pPr>
  </w:style>
  <w:style w:type="paragraph" w:styleId="ListContinue2">
    <w:name w:val="List Continue 2"/>
    <w:basedOn w:val="List2"/>
    <w:rsid w:val="001664D2"/>
    <w:pPr>
      <w:ind w:firstLine="0"/>
    </w:pPr>
  </w:style>
  <w:style w:type="paragraph" w:styleId="ListContinue3">
    <w:name w:val="List Continue 3"/>
    <w:basedOn w:val="List3"/>
    <w:rsid w:val="001664D2"/>
    <w:pPr>
      <w:ind w:left="1021" w:firstLine="0"/>
    </w:pPr>
  </w:style>
  <w:style w:type="paragraph" w:styleId="ListContinue4">
    <w:name w:val="List Continue 4"/>
    <w:basedOn w:val="List4"/>
    <w:rsid w:val="001664D2"/>
    <w:pPr>
      <w:ind w:firstLine="0"/>
    </w:pPr>
  </w:style>
  <w:style w:type="paragraph" w:styleId="ListContinue5">
    <w:name w:val="List Continue 5"/>
    <w:basedOn w:val="List5"/>
    <w:rsid w:val="001664D2"/>
    <w:pPr>
      <w:ind w:firstLine="0"/>
    </w:pPr>
  </w:style>
  <w:style w:type="paragraph" w:styleId="ListNumber3">
    <w:name w:val="List Number 3"/>
    <w:basedOn w:val="List3"/>
    <w:rsid w:val="001664D2"/>
    <w:pPr>
      <w:numPr>
        <w:numId w:val="3"/>
      </w:numPr>
    </w:pPr>
  </w:style>
  <w:style w:type="paragraph" w:styleId="ListNumber4">
    <w:name w:val="List Number 4"/>
    <w:basedOn w:val="List4"/>
    <w:rsid w:val="001664D2"/>
    <w:pPr>
      <w:numPr>
        <w:numId w:val="4"/>
      </w:numPr>
    </w:pPr>
  </w:style>
  <w:style w:type="paragraph" w:styleId="ListNumber5">
    <w:name w:val="List Number 5"/>
    <w:basedOn w:val="List5"/>
    <w:rsid w:val="001664D2"/>
    <w:pPr>
      <w:numPr>
        <w:numId w:val="5"/>
      </w:numPr>
    </w:pPr>
  </w:style>
  <w:style w:type="paragraph" w:styleId="BlockText">
    <w:name w:val="Block Text"/>
    <w:basedOn w:val="Normal"/>
    <w:rsid w:val="001664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64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64D2"/>
    <w:rPr>
      <w:sz w:val="16"/>
      <w:vertAlign w:val="superscript"/>
    </w:rPr>
  </w:style>
  <w:style w:type="character" w:customStyle="1" w:styleId="Symbols">
    <w:name w:val="Symbols"/>
    <w:basedOn w:val="DefaultParagraphFont"/>
    <w:rsid w:val="001664D2"/>
    <w:rPr>
      <w:rFonts w:ascii="Symbol" w:hAnsi="Symbol"/>
    </w:rPr>
  </w:style>
  <w:style w:type="character" w:customStyle="1" w:styleId="MenuOptions">
    <w:name w:val="Menu Options"/>
    <w:basedOn w:val="DefaultParagraphFont"/>
    <w:rsid w:val="001664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64D2"/>
    <w:rPr>
      <w:b/>
    </w:rPr>
  </w:style>
  <w:style w:type="character" w:customStyle="1" w:styleId="Underlined">
    <w:name w:val="Underlined"/>
    <w:basedOn w:val="DefaultParagraphFont"/>
    <w:rsid w:val="001664D2"/>
    <w:rPr>
      <w:u w:val="single"/>
    </w:rPr>
  </w:style>
  <w:style w:type="paragraph" w:customStyle="1" w:styleId="TableBodyTextRight">
    <w:name w:val="Table Body Text Right"/>
    <w:basedOn w:val="TableBodyText"/>
    <w:rsid w:val="001664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64D2"/>
    <w:rPr>
      <w:sz w:val="18"/>
    </w:rPr>
  </w:style>
  <w:style w:type="paragraph" w:customStyle="1" w:styleId="BodySmallRight">
    <w:name w:val="Body Small Right"/>
    <w:basedOn w:val="BodyTextRight"/>
    <w:rsid w:val="001664D2"/>
    <w:rPr>
      <w:sz w:val="18"/>
      <w:szCs w:val="18"/>
    </w:rPr>
  </w:style>
  <w:style w:type="paragraph" w:customStyle="1" w:styleId="MarginEdition">
    <w:name w:val="Margin Edition"/>
    <w:basedOn w:val="MarginNote"/>
    <w:rsid w:val="001664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64D2"/>
    <w:rPr>
      <w:sz w:val="2"/>
      <w:szCs w:val="2"/>
    </w:rPr>
  </w:style>
  <w:style w:type="character" w:customStyle="1" w:styleId="Small">
    <w:name w:val="Small"/>
    <w:basedOn w:val="DefaultParagraphFont"/>
    <w:rsid w:val="001664D2"/>
    <w:rPr>
      <w:sz w:val="16"/>
    </w:rPr>
  </w:style>
  <w:style w:type="paragraph" w:customStyle="1" w:styleId="WideTable">
    <w:name w:val="Wide Table"/>
    <w:basedOn w:val="Normal"/>
    <w:rsid w:val="001664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64D2"/>
  </w:style>
  <w:style w:type="paragraph" w:styleId="Quote">
    <w:name w:val="Quote"/>
    <w:basedOn w:val="Heading1"/>
    <w:link w:val="QuoteChar"/>
    <w:qFormat/>
    <w:rsid w:val="001664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64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64D2"/>
    <w:pPr>
      <w:pageBreakBefore/>
    </w:pPr>
  </w:style>
  <w:style w:type="paragraph" w:customStyle="1" w:styleId="Border">
    <w:name w:val="Border"/>
    <w:basedOn w:val="Normal"/>
    <w:qFormat/>
    <w:rsid w:val="001664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64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4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4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64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64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64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64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64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64D2"/>
    <w:rPr>
      <w:u w:val="single"/>
    </w:rPr>
  </w:style>
  <w:style w:type="character" w:customStyle="1" w:styleId="BoldandItalics">
    <w:name w:val="Bold and Italics"/>
    <w:qFormat/>
    <w:rsid w:val="001664D2"/>
    <w:rPr>
      <w:b/>
      <w:i/>
      <w:u w:val="none"/>
    </w:rPr>
  </w:style>
  <w:style w:type="paragraph" w:styleId="BalloonText">
    <w:name w:val="Balloon Text"/>
    <w:basedOn w:val="Normal"/>
    <w:link w:val="BalloonTextChar"/>
    <w:rsid w:val="001664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4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64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64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64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64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64D2"/>
    <w:pPr>
      <w:spacing w:before="0" w:after="0"/>
    </w:pPr>
  </w:style>
  <w:style w:type="paragraph" w:customStyle="1" w:styleId="BodyTextBold">
    <w:name w:val="Body Text Bold"/>
    <w:basedOn w:val="BodyText"/>
    <w:qFormat/>
    <w:rsid w:val="001664D2"/>
    <w:rPr>
      <w:b/>
    </w:rPr>
  </w:style>
  <w:style w:type="character" w:styleId="Hyperlink">
    <w:name w:val="Hyperlink"/>
    <w:basedOn w:val="DefaultParagraphFont"/>
    <w:uiPriority w:val="99"/>
    <w:unhideWhenUsed/>
    <w:rsid w:val="00B828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842</Words>
  <Characters>5056</Characters>
  <Application>Microsoft Office Word</Application>
  <DocSecurity>0</DocSecurity>
  <Lines>280</Lines>
  <Paragraphs>140</Paragraphs>
  <ScaleCrop>false</ScaleCrop>
  <Company>Author-it Software Corporation Ltd.</Company>
  <LinksUpToDate>false</LinksUpToDate>
  <CharactersWithSpaces>5758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MSS024015 Apply an understanding of environmental principles to a site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2022-04-05T04:45:00Z</dcterms:created>
  <dcterms:modified xsi:type="dcterms:W3CDTF">2022-04-05T04:45:00Z</dcterms:modified>
</cp:coreProperties>
</file>