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2138" w:rsidP="00E321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MSS024005 Collect spatial and discrete environmental data</w:t>
      </w:r>
      <w:r>
        <w:fldChar w:fldCharType="end"/>
      </w:r>
    </w:p>
    <w:p w:rsidR="00E32138" w:rsidP="00E32138">
      <w:pPr>
        <w:pStyle w:val="Version"/>
        <w:sectPr w:rsidSect="00EB48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48AB" w:rsidP="00EB48AB">
      <w:pPr>
        <w:pStyle w:val="SuperHeading"/>
      </w:pPr>
      <w:r w:rsidRPr="00EB48AB">
        <w:t>Assessment Requirements for MSS024005 Collect spatial and discrete environmental data</w:t>
      </w:r>
    </w:p>
    <w:p w:rsidR="00000000" w:rsidRPr="00EB48AB" w:rsidP="00EB48AB">
      <w:pPr>
        <w:pStyle w:val="Heading1"/>
      </w:pPr>
      <w:bookmarkStart w:id="1" w:name="O_922104"/>
      <w:bookmarkEnd w:id="1"/>
      <w:r w:rsidRPr="00EB48AB">
        <w:t>Modification History</w:t>
      </w:r>
    </w:p>
    <w:p w:rsidR="00000000" w:rsidRPr="00EB48AB" w:rsidP="00EB48AB">
      <w:pPr>
        <w:pStyle w:val="BodyText"/>
      </w:pPr>
      <w:r w:rsidRPr="00EB48AB">
        <w:t>Release 1. Supersedes and is equivalent to MSS024005A Collect spatial and discrete environmental data</w:t>
      </w:r>
    </w:p>
    <w:p w:rsidR="00000000" w:rsidRPr="00EB48AB" w:rsidP="00EB48AB">
      <w:pPr>
        <w:pStyle w:val="AllowPageBreak"/>
      </w:pPr>
    </w:p>
    <w:p w:rsidR="00000000" w:rsidRPr="00EB48AB" w:rsidP="00EB48AB">
      <w:pPr>
        <w:pStyle w:val="Heading1"/>
      </w:pPr>
      <w:bookmarkStart w:id="2" w:name="O_922107"/>
      <w:bookmarkEnd w:id="2"/>
      <w:r w:rsidRPr="00EB48AB">
        <w:t>Performance Evidence</w:t>
      </w:r>
    </w:p>
    <w:p w:rsidR="00000000" w:rsidRPr="00EB48AB" w:rsidP="00EB48AB">
      <w:pPr>
        <w:pStyle w:val="BodyText"/>
      </w:pPr>
      <w:r w:rsidRPr="00EB48AB">
        <w:t>Evidence of competence in this unit must satisfy all of the requirements of the elements and performance criteria, and include demonstration of:</w:t>
      </w:r>
    </w:p>
    <w:p w:rsidR="00000000" w:rsidRPr="00EB48AB" w:rsidP="00EB48AB">
      <w:pPr>
        <w:pStyle w:val="ListBullet"/>
      </w:pPr>
      <w:r w:rsidRPr="00EB48AB">
        <w:t xml:space="preserve">collecting spatial and discrete environmental data that meets specifications on at least </w:t>
      </w:r>
      <w:r w:rsidRPr="00EB48AB">
        <w:t>two (2) occasions</w:t>
      </w:r>
    </w:p>
    <w:p w:rsidR="00000000" w:rsidRPr="00EB48AB" w:rsidP="00EB48AB">
      <w:pPr>
        <w:pStyle w:val="ListBullet"/>
      </w:pPr>
      <w:r w:rsidRPr="00EB48AB">
        <w:t>accurately interpreting instructions, specifications, procedures and manuals</w:t>
      </w:r>
    </w:p>
    <w:p w:rsidR="00000000" w:rsidRPr="00EB48AB" w:rsidP="00EB48AB">
      <w:pPr>
        <w:pStyle w:val="ListBullet"/>
      </w:pPr>
      <w:r w:rsidRPr="00EB48AB">
        <w:t>planning and organising resources for efficient data collection</w:t>
      </w:r>
    </w:p>
    <w:p w:rsidR="00000000" w:rsidRPr="00EB48AB" w:rsidP="00EB48AB">
      <w:pPr>
        <w:pStyle w:val="ListBullet"/>
      </w:pPr>
      <w:r w:rsidRPr="00EB48AB">
        <w:t>reading and interpreting maps and aerial photos, including relating direction and position on gro</w:t>
      </w:r>
      <w:r w:rsidRPr="00EB48AB">
        <w:t>und to visual representations</w:t>
      </w:r>
    </w:p>
    <w:p w:rsidR="00000000" w:rsidRPr="00EB48AB" w:rsidP="00EB48AB">
      <w:pPr>
        <w:pStyle w:val="ListBullet"/>
      </w:pPr>
      <w:r w:rsidRPr="00EB48AB">
        <w:t>setting up and operating handheld GPS equipment and environmental instruments correctly</w:t>
      </w:r>
    </w:p>
    <w:p w:rsidR="00000000" w:rsidRPr="00EB48AB" w:rsidP="00EB48AB">
      <w:pPr>
        <w:pStyle w:val="ListBullet"/>
      </w:pPr>
      <w:r w:rsidRPr="00EB48AB">
        <w:t>using computer equipment to reliably collect, manipulate and file spatial/environmental data</w:t>
      </w:r>
    </w:p>
    <w:p w:rsidR="00000000" w:rsidRPr="00EB48AB" w:rsidP="00EB48AB">
      <w:pPr>
        <w:pStyle w:val="ListBullet"/>
      </w:pPr>
      <w:r w:rsidRPr="00EB48AB">
        <w:t>recognising and recording atypical data</w:t>
      </w:r>
    </w:p>
    <w:p w:rsidR="00000000" w:rsidRPr="00EB48AB" w:rsidP="00EB48AB">
      <w:pPr>
        <w:pStyle w:val="ListBullet"/>
      </w:pPr>
      <w:r w:rsidRPr="00EB48AB">
        <w:t>using</w:t>
      </w:r>
      <w:r w:rsidRPr="00EB48AB">
        <w:t xml:space="preserve"> basic troubleshooting and problem-solving methods to check/address atypical data</w:t>
      </w:r>
    </w:p>
    <w:p w:rsidR="00000000" w:rsidRPr="00EB48AB" w:rsidP="00EB48AB">
      <w:pPr>
        <w:pStyle w:val="ListBullet"/>
      </w:pPr>
      <w:r w:rsidRPr="00EB48AB">
        <w:t>checking the acceptability of environmental data using specified quality tests or procedures</w:t>
      </w:r>
    </w:p>
    <w:p w:rsidR="00000000" w:rsidRPr="00EB48AB" w:rsidP="00EB48AB">
      <w:pPr>
        <w:pStyle w:val="ListBullet"/>
      </w:pPr>
      <w:r w:rsidRPr="00EB48AB">
        <w:t>presenting results and preparing technical reports in accordance with workplace p</w:t>
      </w:r>
      <w:r w:rsidRPr="00EB48AB">
        <w:t>rocedures</w:t>
      </w:r>
    </w:p>
    <w:p w:rsidR="00000000" w:rsidRPr="00EB48AB" w:rsidP="00EB48AB">
      <w:pPr>
        <w:pStyle w:val="ListBullet"/>
      </w:pPr>
      <w:r w:rsidRPr="00EB48AB">
        <w:t>seeking advice when issues/problems are beyond scope of competence/responsibility</w:t>
      </w:r>
    </w:p>
    <w:p w:rsidR="00000000" w:rsidRPr="00EB48AB" w:rsidP="00EB48AB">
      <w:pPr>
        <w:pStyle w:val="ListBullet"/>
      </w:pPr>
      <w:r w:rsidRPr="00EB48AB">
        <w:t>working safely for the protection of self and others.</w:t>
      </w:r>
    </w:p>
    <w:p w:rsidR="00000000" w:rsidRPr="00EB48AB" w:rsidP="00EB48AB">
      <w:pPr>
        <w:pStyle w:val="AllowPageBreak"/>
      </w:pPr>
    </w:p>
    <w:p w:rsidR="00000000" w:rsidRPr="00EB48AB" w:rsidP="00EB48AB">
      <w:pPr>
        <w:pStyle w:val="Heading1"/>
      </w:pPr>
      <w:bookmarkStart w:id="3" w:name="O_922106"/>
      <w:bookmarkEnd w:id="3"/>
      <w:r w:rsidRPr="00EB48AB">
        <w:t>Knowledge Evidence</w:t>
      </w:r>
    </w:p>
    <w:p w:rsidR="00000000" w:rsidRPr="00EB48AB" w:rsidP="00EB48AB">
      <w:pPr>
        <w:pStyle w:val="BodyText"/>
      </w:pPr>
      <w:r w:rsidRPr="00EB48AB">
        <w:t>Must provide evidence that demonstrates knowledge of:</w:t>
      </w:r>
    </w:p>
    <w:p w:rsidR="00000000" w:rsidRPr="00EB48AB" w:rsidP="00EB48AB">
      <w:pPr>
        <w:pStyle w:val="ListBullet"/>
      </w:pPr>
      <w:r w:rsidRPr="00EB48AB">
        <w:t>environmental terms, concepts and principles relevant to data collection</w:t>
      </w:r>
    </w:p>
    <w:p w:rsidR="00000000" w:rsidRPr="00EB48AB" w:rsidP="00EB48AB">
      <w:pPr>
        <w:pStyle w:val="ListBullet"/>
      </w:pPr>
      <w:r w:rsidRPr="00EB48AB">
        <w:t>legislative requirements, standard methods and/or workplace procedures governing data collection, processing and reporting</w:t>
      </w:r>
    </w:p>
    <w:p w:rsidR="00000000" w:rsidRPr="00EB48AB" w:rsidP="00EB48AB">
      <w:pPr>
        <w:pStyle w:val="ListBullet"/>
      </w:pPr>
      <w:r w:rsidRPr="00EB48AB">
        <w:t>operating principles of GPS equipment and environmental inst</w:t>
      </w:r>
      <w:r w:rsidRPr="00EB48AB">
        <w:t>ruments used in job role, including set-up and optimisation methods and equipment limitations</w:t>
      </w:r>
    </w:p>
    <w:p w:rsidR="00000000" w:rsidRPr="00EB48AB" w:rsidP="00EB48AB">
      <w:pPr>
        <w:pStyle w:val="ListBullet"/>
      </w:pPr>
      <w:r w:rsidRPr="00EB48AB">
        <w:t>uncertainty, accuracy and precision of measurements and data quality requirements</w:t>
      </w:r>
    </w:p>
    <w:p w:rsidR="00000000" w:rsidRPr="00EB48AB" w:rsidP="00EB48AB">
      <w:pPr>
        <w:pStyle w:val="ListBullet"/>
      </w:pPr>
      <w:r w:rsidRPr="00EB48AB">
        <w:t>data formats</w:t>
      </w:r>
    </w:p>
    <w:p w:rsidR="00000000" w:rsidRPr="00EB48AB" w:rsidP="00EB48AB">
      <w:pPr>
        <w:pStyle w:val="ListBullet"/>
      </w:pPr>
      <w:r w:rsidRPr="00EB48AB">
        <w:t>methods for data processing, manipulation and management</w:t>
      </w:r>
    </w:p>
    <w:p w:rsidR="00000000" w:rsidRPr="00EB48AB" w:rsidP="00EB48AB">
      <w:pPr>
        <w:pStyle w:val="ListBullet"/>
      </w:pPr>
      <w:r w:rsidRPr="00EB48AB">
        <w:t>relevant h</w:t>
      </w:r>
      <w:r w:rsidRPr="00EB48AB">
        <w:t>azards, health and safety and site environmental management requirements.</w:t>
      </w:r>
    </w:p>
    <w:p w:rsidR="00000000" w:rsidRPr="00EB48AB" w:rsidP="00EB48AB">
      <w:pPr>
        <w:pStyle w:val="AllowPageBreak"/>
      </w:pPr>
    </w:p>
    <w:p w:rsidR="00000000" w:rsidRPr="00EB48AB" w:rsidP="00EB48AB">
      <w:pPr>
        <w:pStyle w:val="Heading1"/>
      </w:pPr>
      <w:bookmarkStart w:id="4" w:name="O_922105"/>
      <w:bookmarkEnd w:id="4"/>
      <w:r w:rsidRPr="00EB48AB">
        <w:t>Assessment Conditions</w:t>
      </w:r>
    </w:p>
    <w:p w:rsidR="00000000" w:rsidRPr="00EB48AB" w:rsidP="00EB48AB">
      <w:pPr>
        <w:pStyle w:val="ListBullet"/>
      </w:pPr>
      <w:r w:rsidRPr="00EB48AB">
        <w:t xml:space="preserve">Judgement of competence must be based on holistic assessment of the evidence. Assessment methods must confirm consistency of performance over </w:t>
      </w:r>
      <w:r w:rsidRPr="00EB48AB">
        <w:t xml:space="preserve">time, rather than a single assessment event. </w:t>
      </w:r>
    </w:p>
    <w:p w:rsidR="00000000" w:rsidRPr="00EB48AB" w:rsidP="00EB48AB">
      <w:pPr>
        <w:pStyle w:val="ListBullet"/>
      </w:pPr>
      <w:r w:rsidRPr="00EB48AB">
        <w:t>This unit of competency is to be assessed in the workplace, or a simulated workplace environment. A simulated workplace environment must reflect realistic operational workplace conditions that cover all aspects</w:t>
      </w:r>
      <w:r w:rsidRPr="00EB48AB">
        <w:t xml:space="preserve"> of workplace performance, including the environment, task skills, task management skills, contingency management skills and job role environment skills.  </w:t>
      </w:r>
    </w:p>
    <w:p w:rsidR="00000000" w:rsidRPr="00EB48AB" w:rsidP="00EB48AB">
      <w:pPr>
        <w:pStyle w:val="ListBullet"/>
      </w:pPr>
      <w:r w:rsidRPr="00EB48AB">
        <w:t>Foundation skills are integral to competent performance of the unit and should not be assessed separ</w:t>
      </w:r>
      <w:r w:rsidRPr="00EB48AB">
        <w:t xml:space="preserve">ately. </w:t>
      </w:r>
    </w:p>
    <w:p w:rsidR="00000000" w:rsidRPr="00EB48AB" w:rsidP="00EB48AB">
      <w:pPr>
        <w:pStyle w:val="ListBullet"/>
      </w:pPr>
      <w:r w:rsidRPr="00EB48AB">
        <w:t>Assessment processes and techniques must be appropriate to the language, literacy and numeracy requirements of the work being performed and the needs of the candidate.</w:t>
      </w:r>
    </w:p>
    <w:p w:rsidR="00000000" w:rsidRPr="00EB48AB" w:rsidP="00EB48AB">
      <w:pPr>
        <w:pStyle w:val="ListBullet"/>
      </w:pPr>
      <w:r w:rsidRPr="00EB48AB">
        <w:t>Knowledge evidence may be collected concurrently with performance evidence or th</w:t>
      </w:r>
      <w:r w:rsidRPr="00EB48AB">
        <w:t>rough an independent process such as workbooks, written assessments or interviews (provided a record is kept in each case).</w:t>
      </w:r>
    </w:p>
    <w:p w:rsidR="00000000" w:rsidRPr="00EB48AB" w:rsidP="00EB48AB">
      <w:pPr>
        <w:pStyle w:val="ListBullet"/>
      </w:pPr>
      <w:r w:rsidRPr="00EB48AB">
        <w:t xml:space="preserve">Holistic assessment methods include: </w:t>
      </w:r>
    </w:p>
    <w:p w:rsidR="00000000" w:rsidRPr="00EB48AB" w:rsidP="00EB48AB">
      <w:pPr>
        <w:pStyle w:val="ListBullet2"/>
      </w:pPr>
      <w:r w:rsidRPr="00EB48AB">
        <w:t>review of environmental data, results and site reports generated by the candidate</w:t>
      </w:r>
    </w:p>
    <w:p w:rsidR="00000000" w:rsidRPr="00EB48AB" w:rsidP="00EB48AB">
      <w:pPr>
        <w:pStyle w:val="ListBullet2"/>
      </w:pPr>
      <w:r w:rsidRPr="00EB48AB">
        <w:t>feedback from supervisors about the candidate’s ability to safely collect reliable environmental data using available resources and within the agreed timeframe</w:t>
      </w:r>
    </w:p>
    <w:p w:rsidR="00000000" w:rsidRPr="00EB48AB" w:rsidP="00EB48AB">
      <w:pPr>
        <w:pStyle w:val="ListBullet2"/>
      </w:pPr>
      <w:r w:rsidRPr="00EB48AB">
        <w:t>observation of candidate collecting data with a focus on:</w:t>
      </w:r>
    </w:p>
    <w:p w:rsidR="00000000" w:rsidRPr="00EB48AB" w:rsidP="00EB48AB">
      <w:pPr>
        <w:pStyle w:val="ListBullet3"/>
      </w:pPr>
      <w:r w:rsidRPr="00EB48AB">
        <w:t>general site reconnaissance and obser</w:t>
      </w:r>
      <w:r w:rsidRPr="00EB48AB">
        <w:t>vations</w:t>
      </w:r>
    </w:p>
    <w:p w:rsidR="00000000" w:rsidRPr="00EB48AB" w:rsidP="00EB48AB">
      <w:pPr>
        <w:pStyle w:val="ListBullet3"/>
      </w:pPr>
      <w:r w:rsidRPr="00EB48AB">
        <w:t>set-up and use of equipment</w:t>
      </w:r>
    </w:p>
    <w:p w:rsidR="00000000" w:rsidRPr="00EB48AB" w:rsidP="00EB48AB">
      <w:pPr>
        <w:pStyle w:val="ListBullet3"/>
      </w:pPr>
      <w:r w:rsidRPr="00EB48AB">
        <w:t>accurate data recording</w:t>
      </w:r>
    </w:p>
    <w:p w:rsidR="00000000" w:rsidRPr="00EB48AB" w:rsidP="00EB48AB">
      <w:pPr>
        <w:pStyle w:val="ListBullet3"/>
      </w:pPr>
      <w:r w:rsidRPr="00EB48AB">
        <w:t>problem solving/troubleshooting</w:t>
      </w:r>
    </w:p>
    <w:p w:rsidR="00000000" w:rsidRPr="00EB48AB" w:rsidP="00EB48AB">
      <w:pPr>
        <w:pStyle w:val="ListBullet3"/>
      </w:pPr>
      <w:r w:rsidRPr="00EB48AB">
        <w:t>safe work practices</w:t>
      </w:r>
    </w:p>
    <w:p w:rsidR="00000000" w:rsidRPr="00EB48AB" w:rsidP="00EB48AB">
      <w:pPr>
        <w:pStyle w:val="ListBullet2"/>
      </w:pPr>
      <w:r w:rsidRPr="00EB48AB">
        <w:t>oral and/or written questions to assess the candidate’s understanding of workplace procedures relating to data collection, processing and repor</w:t>
      </w:r>
      <w:r w:rsidRPr="00EB48AB">
        <w:t>ting; use of equipment; and interpretation of data.</w:t>
      </w:r>
    </w:p>
    <w:p w:rsidR="00000000" w:rsidRPr="00EB48AB" w:rsidP="00EB48AB">
      <w:pPr>
        <w:pStyle w:val="ListBullet"/>
      </w:pPr>
      <w:r w:rsidRPr="00EB48AB">
        <w:t>Access is required to all instruments, equipment, materials, workplace documentation, procedures, and specifications associated with this unit including, but not limited to:</w:t>
      </w:r>
    </w:p>
    <w:p w:rsidR="00000000" w:rsidRPr="00EB48AB" w:rsidP="00EB48AB">
      <w:pPr>
        <w:pStyle w:val="ListBullet2"/>
      </w:pPr>
      <w:r w:rsidRPr="00EB48AB">
        <w:t>access to suitable sites and a vehicle</w:t>
      </w:r>
    </w:p>
    <w:p w:rsidR="00000000" w:rsidRPr="00EB48AB" w:rsidP="00EB48AB">
      <w:pPr>
        <w:pStyle w:val="ListBullet2"/>
      </w:pPr>
      <w:r w:rsidRPr="00EB48AB">
        <w:t>sampling/monitoring equipment and instruments, GPS receivers and related GPS software, camera; consumables; calculator, computer and relevant software or laboratory information system</w:t>
      </w:r>
    </w:p>
    <w:p w:rsidR="00000000" w:rsidRPr="00EB48AB" w:rsidP="00EB48AB">
      <w:pPr>
        <w:pStyle w:val="ListBullet2"/>
      </w:pPr>
      <w:r w:rsidRPr="00EB48AB">
        <w:t>documentation, including site inf</w:t>
      </w:r>
      <w:r w:rsidRPr="00EB48AB">
        <w:t>ormation and history, maps, aerial photos; site environmental management plans, codes of practice and field protocols; equipment manuals, workplace procedures and test/survey methods.</w:t>
      </w:r>
    </w:p>
    <w:p w:rsidR="00000000" w:rsidRPr="00EB48AB" w:rsidP="00EB48AB">
      <w:pPr>
        <w:pStyle w:val="ListBullet"/>
      </w:pPr>
      <w:r w:rsidRPr="00EB48AB">
        <w:t>Assessors must satisfy the assessor competency requirements that are in</w:t>
      </w:r>
      <w:r w:rsidRPr="00EB48AB">
        <w:t xml:space="preserve"> place at the time of the assessment as set by the VET regulator.</w:t>
      </w:r>
    </w:p>
    <w:p w:rsidR="00000000" w:rsidRPr="00EB48AB" w:rsidP="00EB48AB">
      <w:pPr>
        <w:pStyle w:val="ListBullet"/>
      </w:pPr>
      <w:r w:rsidRPr="00EB48AB">
        <w:t>The assessor must demonstrate both technical competency and currency.</w:t>
      </w:r>
    </w:p>
    <w:p w:rsidR="00000000" w:rsidRPr="00EB48AB" w:rsidP="00EB48AB">
      <w:pPr>
        <w:pStyle w:val="ListBullet"/>
      </w:pPr>
      <w:r w:rsidRPr="00EB48AB">
        <w:t>Technical competence can be demonstrated through:</w:t>
      </w:r>
    </w:p>
    <w:p w:rsidR="00000000" w:rsidRPr="00EB48AB" w:rsidP="00EB48AB">
      <w:pPr>
        <w:pStyle w:val="ListBullet2"/>
      </w:pPr>
      <w:r w:rsidRPr="00EB48AB">
        <w:t>relevant VET or other qualification/Statement of Attainment AND/OR</w:t>
      </w:r>
    </w:p>
    <w:p w:rsidR="00000000" w:rsidRPr="00EB48AB" w:rsidP="00EB48AB">
      <w:pPr>
        <w:pStyle w:val="ListBullet2"/>
      </w:pPr>
      <w:r w:rsidRPr="00EB48AB">
        <w:t>re</w:t>
      </w:r>
      <w:r w:rsidRPr="00EB48AB">
        <w:t xml:space="preserve">levant workplace experience </w:t>
      </w:r>
    </w:p>
    <w:p w:rsidR="00000000" w:rsidRPr="00EB48AB" w:rsidP="00EB48AB">
      <w:pPr>
        <w:pStyle w:val="ListBullet"/>
      </w:pPr>
      <w:r w:rsidRPr="00EB48AB">
        <w:t>Currency can be demonstrated through:</w:t>
      </w:r>
    </w:p>
    <w:p w:rsidR="00000000" w:rsidRPr="00EB48AB" w:rsidP="00EB48AB">
      <w:pPr>
        <w:pStyle w:val="ListBullet2"/>
      </w:pPr>
      <w:r w:rsidRPr="00EB48AB">
        <w:t>performing the competency being assessed as part of current employment OR</w:t>
      </w:r>
    </w:p>
    <w:p w:rsidR="00000000" w:rsidRPr="00EB48AB" w:rsidP="00EB48AB">
      <w:pPr>
        <w:pStyle w:val="ListBullet2"/>
      </w:pPr>
      <w:r w:rsidRPr="00EB48AB">
        <w:t>having consulted with an organisation providing environmental monitoring, management or technology related servic</w:t>
      </w:r>
      <w:r w:rsidRPr="00EB48AB">
        <w:t>es about performing the competency being assessed within the last twelve months.</w:t>
      </w:r>
    </w:p>
    <w:p w:rsidR="00000000" w:rsidRPr="00EB48AB" w:rsidP="00EB48AB">
      <w:pPr>
        <w:pStyle w:val="AllowPageBreak"/>
      </w:pPr>
    </w:p>
    <w:p w:rsidR="00000000" w:rsidRPr="00EB48AB" w:rsidP="00EB48AB">
      <w:pPr>
        <w:pStyle w:val="Heading1"/>
      </w:pPr>
      <w:bookmarkStart w:id="5" w:name="O_922103"/>
      <w:bookmarkEnd w:id="5"/>
      <w:r w:rsidRPr="00EB48AB">
        <w:t>Links</w:t>
      </w:r>
    </w:p>
    <w:p w:rsidR="00000000" w:rsidRPr="00EB48AB" w:rsidP="00EB48AB">
      <w:pPr>
        <w:pStyle w:val="BodyText"/>
      </w:pPr>
      <w:r w:rsidRPr="00EB48AB">
        <w:t>MSA Training Package Implementation Guides - http://mskills.org.au/training-packages/info/</w:t>
      </w:r>
    </w:p>
    <w:p w:rsidR="00000000" w:rsidRPr="00EB48AB" w:rsidP="00EB48AB"/>
    <w:sectPr w:rsidSect="00EB48A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AB" w:rsidRPr="00E32138" w:rsidP="00E321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38" w:rsidP="00EB48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32138" w:rsidP="00EB48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E32138" w:rsidP="00EB48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AB" w:rsidRPr="00E32138" w:rsidP="00E3213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48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138" w:rsidRPr="002D2AF8" w:rsidP="00EB48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MSS024005 Collect spatial and discrete environmental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E32138" w:rsidP="00EB48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2026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A20A6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AAF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48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48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48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48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48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48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48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48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48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48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48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48AB"/>
  </w:style>
  <w:style w:type="character" w:customStyle="1" w:styleId="Heading1Char">
    <w:name w:val="Heading 1 Char"/>
    <w:basedOn w:val="DefaultParagraphFont"/>
    <w:link w:val="Heading1"/>
    <w:rsid w:val="00EB48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48A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48A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B48AB"/>
    <w:pPr>
      <w:numPr>
        <w:numId w:val="14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B48AB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B48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48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B48A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48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48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48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4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48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4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48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48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48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48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48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48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48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48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48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48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48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48A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B48A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B48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B48AB"/>
    <w:rPr>
      <w:b/>
      <w:spacing w:val="0"/>
    </w:rPr>
  </w:style>
  <w:style w:type="paragraph" w:customStyle="1" w:styleId="SuperTitle">
    <w:name w:val="SuperTitle"/>
    <w:basedOn w:val="Title"/>
    <w:rsid w:val="00EB48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48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48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48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48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48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48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48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48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48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48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48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B48AB"/>
    <w:rPr>
      <w:i/>
    </w:rPr>
  </w:style>
  <w:style w:type="paragraph" w:styleId="Caption">
    <w:name w:val="caption"/>
    <w:basedOn w:val="BodyText"/>
    <w:next w:val="Normal"/>
    <w:qFormat/>
    <w:rsid w:val="00EB48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48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48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48AB"/>
  </w:style>
  <w:style w:type="paragraph" w:styleId="TableofFigures">
    <w:name w:val="table of figures"/>
    <w:basedOn w:val="Normal"/>
    <w:next w:val="Normal"/>
    <w:semiHidden/>
    <w:rsid w:val="00EB48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48AB"/>
    <w:pPr>
      <w:numPr>
        <w:numId w:val="12"/>
      </w:numPr>
    </w:pPr>
  </w:style>
  <w:style w:type="character" w:customStyle="1" w:styleId="WingdingSymbols">
    <w:name w:val="Wingding Symbols"/>
    <w:rsid w:val="00EB48AB"/>
    <w:rPr>
      <w:rFonts w:ascii="Wingdings" w:hAnsi="Wingdings"/>
    </w:rPr>
  </w:style>
  <w:style w:type="paragraph" w:customStyle="1" w:styleId="TableHeading">
    <w:name w:val="Table Heading"/>
    <w:basedOn w:val="HeadingBase"/>
    <w:rsid w:val="00EB48A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48AB"/>
    <w:rPr>
      <w:color w:val="0033CC"/>
      <w:u w:val="none"/>
    </w:rPr>
  </w:style>
  <w:style w:type="paragraph" w:customStyle="1" w:styleId="BodyTextRight">
    <w:name w:val="Body Text Right"/>
    <w:basedOn w:val="BodyText"/>
    <w:rsid w:val="00EB48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48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48A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48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48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48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48AB"/>
    <w:rPr>
      <w:sz w:val="32"/>
    </w:rPr>
  </w:style>
  <w:style w:type="paragraph" w:customStyle="1" w:styleId="HeadingProcedure">
    <w:name w:val="Heading Procedure"/>
    <w:basedOn w:val="HeadingBase"/>
    <w:next w:val="Normal"/>
    <w:rsid w:val="00EB48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48AB"/>
    <w:pPr>
      <w:spacing w:before="60" w:after="60"/>
    </w:pPr>
  </w:style>
  <w:style w:type="paragraph" w:styleId="ListContinue">
    <w:name w:val="List Continue"/>
    <w:basedOn w:val="List"/>
    <w:rsid w:val="00EB48AB"/>
    <w:pPr>
      <w:ind w:firstLine="0"/>
    </w:pPr>
  </w:style>
  <w:style w:type="paragraph" w:customStyle="1" w:styleId="ListNote">
    <w:name w:val="List Note"/>
    <w:basedOn w:val="List"/>
    <w:rsid w:val="00EB48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48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48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48AB"/>
    <w:rPr>
      <w:rFonts w:ascii="Courier New" w:hAnsi="Courier New"/>
    </w:rPr>
  </w:style>
  <w:style w:type="paragraph" w:customStyle="1" w:styleId="NoteBullet">
    <w:name w:val="Note Bullet"/>
    <w:basedOn w:val="Note"/>
    <w:rsid w:val="00EB48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48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48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48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48AB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EB48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48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48AB"/>
    <w:rPr>
      <w:b/>
      <w:smallCaps/>
    </w:rPr>
  </w:style>
  <w:style w:type="paragraph" w:customStyle="1" w:styleId="TableListNumber">
    <w:name w:val="Table List Number"/>
    <w:basedOn w:val="ListNumber"/>
    <w:rsid w:val="00EB48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48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48AB"/>
    <w:pPr>
      <w:numPr>
        <w:numId w:val="10"/>
      </w:numPr>
    </w:pPr>
  </w:style>
  <w:style w:type="paragraph" w:customStyle="1" w:styleId="ListAlpha2">
    <w:name w:val="List Alpha 2"/>
    <w:basedOn w:val="List2"/>
    <w:rsid w:val="00EB48AB"/>
    <w:pPr>
      <w:numPr>
        <w:numId w:val="9"/>
      </w:numPr>
    </w:pPr>
  </w:style>
  <w:style w:type="paragraph" w:styleId="List2">
    <w:name w:val="List 2"/>
    <w:basedOn w:val="BodyText"/>
    <w:rsid w:val="00EB48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B48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48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48A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48A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48AB"/>
    <w:pPr>
      <w:numPr>
        <w:numId w:val="5"/>
      </w:numPr>
    </w:pPr>
  </w:style>
  <w:style w:type="paragraph" w:styleId="ListContinue2">
    <w:name w:val="List Continue 2"/>
    <w:basedOn w:val="List2"/>
    <w:rsid w:val="00EB48AB"/>
    <w:pPr>
      <w:ind w:firstLine="0"/>
    </w:pPr>
  </w:style>
  <w:style w:type="paragraph" w:styleId="ListContinue3">
    <w:name w:val="List Continue 3"/>
    <w:basedOn w:val="List3"/>
    <w:rsid w:val="00EB48AB"/>
    <w:pPr>
      <w:ind w:left="1021" w:firstLine="0"/>
    </w:pPr>
  </w:style>
  <w:style w:type="paragraph" w:styleId="ListContinue4">
    <w:name w:val="List Continue 4"/>
    <w:basedOn w:val="List4"/>
    <w:rsid w:val="00EB48AB"/>
    <w:pPr>
      <w:ind w:firstLine="0"/>
    </w:pPr>
  </w:style>
  <w:style w:type="paragraph" w:styleId="ListContinue5">
    <w:name w:val="List Continue 5"/>
    <w:basedOn w:val="List5"/>
    <w:rsid w:val="00EB48AB"/>
    <w:pPr>
      <w:ind w:firstLine="0"/>
    </w:pPr>
  </w:style>
  <w:style w:type="paragraph" w:styleId="ListNumber3">
    <w:name w:val="List Number 3"/>
    <w:basedOn w:val="List3"/>
    <w:rsid w:val="00EB48AB"/>
    <w:pPr>
      <w:numPr>
        <w:numId w:val="6"/>
      </w:numPr>
    </w:pPr>
  </w:style>
  <w:style w:type="paragraph" w:styleId="ListNumber4">
    <w:name w:val="List Number 4"/>
    <w:basedOn w:val="List4"/>
    <w:rsid w:val="00EB48AB"/>
    <w:pPr>
      <w:numPr>
        <w:numId w:val="7"/>
      </w:numPr>
    </w:pPr>
  </w:style>
  <w:style w:type="paragraph" w:styleId="ListNumber5">
    <w:name w:val="List Number 5"/>
    <w:basedOn w:val="List5"/>
    <w:rsid w:val="00EB48AB"/>
    <w:pPr>
      <w:numPr>
        <w:numId w:val="8"/>
      </w:numPr>
    </w:pPr>
  </w:style>
  <w:style w:type="paragraph" w:styleId="BlockText">
    <w:name w:val="Block Text"/>
    <w:basedOn w:val="Normal"/>
    <w:rsid w:val="00EB48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48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48AB"/>
    <w:rPr>
      <w:sz w:val="16"/>
      <w:vertAlign w:val="superscript"/>
    </w:rPr>
  </w:style>
  <w:style w:type="character" w:customStyle="1" w:styleId="Symbols">
    <w:name w:val="Symbols"/>
    <w:basedOn w:val="DefaultParagraphFont"/>
    <w:rsid w:val="00EB48AB"/>
    <w:rPr>
      <w:rFonts w:ascii="Symbol" w:hAnsi="Symbol"/>
    </w:rPr>
  </w:style>
  <w:style w:type="character" w:customStyle="1" w:styleId="MenuOptions">
    <w:name w:val="Menu Options"/>
    <w:basedOn w:val="DefaultParagraphFont"/>
    <w:rsid w:val="00EB48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48AB"/>
    <w:rPr>
      <w:b/>
    </w:rPr>
  </w:style>
  <w:style w:type="character" w:customStyle="1" w:styleId="Underlined">
    <w:name w:val="Underlined"/>
    <w:basedOn w:val="DefaultParagraphFont"/>
    <w:rsid w:val="00EB48AB"/>
    <w:rPr>
      <w:u w:val="single"/>
    </w:rPr>
  </w:style>
  <w:style w:type="paragraph" w:customStyle="1" w:styleId="TableBodyTextRight">
    <w:name w:val="Table Body Text Right"/>
    <w:basedOn w:val="TableBodyText"/>
    <w:rsid w:val="00EB48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48AB"/>
    <w:rPr>
      <w:sz w:val="18"/>
    </w:rPr>
  </w:style>
  <w:style w:type="paragraph" w:customStyle="1" w:styleId="BodySmallRight">
    <w:name w:val="Body Small Right"/>
    <w:basedOn w:val="BodyTextRight"/>
    <w:rsid w:val="00EB48AB"/>
    <w:rPr>
      <w:sz w:val="18"/>
      <w:szCs w:val="18"/>
    </w:rPr>
  </w:style>
  <w:style w:type="paragraph" w:customStyle="1" w:styleId="MarginEdition">
    <w:name w:val="Margin Edition"/>
    <w:basedOn w:val="MarginNote"/>
    <w:rsid w:val="00EB48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48AB"/>
    <w:rPr>
      <w:sz w:val="2"/>
      <w:szCs w:val="2"/>
    </w:rPr>
  </w:style>
  <w:style w:type="character" w:customStyle="1" w:styleId="Small">
    <w:name w:val="Small"/>
    <w:basedOn w:val="DefaultParagraphFont"/>
    <w:rsid w:val="00EB48AB"/>
    <w:rPr>
      <w:sz w:val="16"/>
    </w:rPr>
  </w:style>
  <w:style w:type="paragraph" w:customStyle="1" w:styleId="WideTable">
    <w:name w:val="Wide Table"/>
    <w:basedOn w:val="Normal"/>
    <w:rsid w:val="00EB48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48AB"/>
  </w:style>
  <w:style w:type="paragraph" w:styleId="Quote">
    <w:name w:val="Quote"/>
    <w:basedOn w:val="Heading1"/>
    <w:link w:val="QuoteChar"/>
    <w:qFormat/>
    <w:rsid w:val="00EB48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48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48AB"/>
    <w:pPr>
      <w:pageBreakBefore/>
    </w:pPr>
  </w:style>
  <w:style w:type="paragraph" w:customStyle="1" w:styleId="Border">
    <w:name w:val="Border"/>
    <w:basedOn w:val="Normal"/>
    <w:qFormat/>
    <w:rsid w:val="00EB48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48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8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8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48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48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48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48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48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48AB"/>
    <w:rPr>
      <w:u w:val="single"/>
    </w:rPr>
  </w:style>
  <w:style w:type="character" w:customStyle="1" w:styleId="BoldandItalics">
    <w:name w:val="Bold and Italics"/>
    <w:qFormat/>
    <w:rsid w:val="00EB48AB"/>
    <w:rPr>
      <w:b/>
      <w:i/>
      <w:u w:val="none"/>
    </w:rPr>
  </w:style>
  <w:style w:type="paragraph" w:styleId="BalloonText">
    <w:name w:val="Balloon Text"/>
    <w:basedOn w:val="Normal"/>
    <w:link w:val="BalloonTextChar"/>
    <w:rsid w:val="00EB48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48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48A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48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48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48A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4606</Characters>
  <Application>Microsoft Office Word</Application>
  <DocSecurity>0</DocSecurity>
  <Lines>97</Lines>
  <Paragraphs>58</Paragraphs>
  <ScaleCrop>false</ScaleCrop>
  <Company>Author-it Software Corporation Ltd.</Company>
  <LinksUpToDate>false</LinksUpToDate>
  <CharactersWithSpaces>5277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MSS024005 Collect spatial and discrete environmental data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2016-06-22T08:36:00Z</dcterms:created>
  <dcterms:modified xsi:type="dcterms:W3CDTF">2016-06-22T08:36:00Z</dcterms:modified>
</cp:coreProperties>
</file>