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550" w:rsidP="007A1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MSS024004 Process and present environmental data</w:t>
      </w:r>
      <w:r>
        <w:fldChar w:fldCharType="end"/>
      </w:r>
    </w:p>
    <w:p w:rsidR="007A1550" w:rsidP="007A1550">
      <w:pPr>
        <w:pStyle w:val="Version"/>
        <w:sectPr w:rsidSect="00463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0ED" w:rsidP="004630ED">
      <w:pPr>
        <w:pStyle w:val="SuperHeading"/>
      </w:pPr>
      <w:r w:rsidRPr="004630ED">
        <w:t>Assessment Requirements for MSS024004 Process and present environmental data</w:t>
      </w:r>
    </w:p>
    <w:p w:rsidR="00000000" w:rsidRPr="004630ED" w:rsidP="004630ED">
      <w:pPr>
        <w:pStyle w:val="Heading1"/>
      </w:pPr>
      <w:bookmarkStart w:id="1" w:name="O_922085"/>
      <w:bookmarkEnd w:id="1"/>
      <w:r w:rsidRPr="004630ED">
        <w:t>Modification History</w:t>
      </w:r>
    </w:p>
    <w:p w:rsidR="00000000" w:rsidRPr="004630ED" w:rsidP="004630ED">
      <w:pPr>
        <w:pStyle w:val="BodyText"/>
      </w:pPr>
      <w:r w:rsidRPr="004630ED">
        <w:t>Release 1. Supersedes and is equivalent to MSS024004A Process and present environmental data</w:t>
      </w:r>
    </w:p>
    <w:p w:rsidR="00000000" w:rsidRPr="004630ED" w:rsidP="004630ED">
      <w:pPr>
        <w:pStyle w:val="AllowPageBreak"/>
      </w:pPr>
    </w:p>
    <w:p w:rsidR="00000000" w:rsidRPr="004630ED" w:rsidP="004630ED">
      <w:pPr>
        <w:pStyle w:val="Heading1"/>
      </w:pPr>
      <w:bookmarkStart w:id="2" w:name="O_922088"/>
      <w:bookmarkEnd w:id="2"/>
      <w:r w:rsidRPr="004630ED">
        <w:t>Performance Evidence</w:t>
      </w:r>
    </w:p>
    <w:p w:rsidR="00000000" w:rsidRPr="004630ED" w:rsidP="004630ED">
      <w:pPr>
        <w:pStyle w:val="BodyText"/>
      </w:pPr>
      <w:r w:rsidRPr="004630ED">
        <w:t>Evidence of competence in this unit must satisfy all of the requirements of the elements and performance criteria, and include demonstration of:</w:t>
      </w:r>
    </w:p>
    <w:p w:rsidR="00000000" w:rsidRPr="004630ED" w:rsidP="004630ED">
      <w:pPr>
        <w:pStyle w:val="ListBullet"/>
      </w:pPr>
      <w:r w:rsidRPr="004630ED">
        <w:t>retrieving, coding, recording and checking data</w:t>
      </w:r>
    </w:p>
    <w:p w:rsidR="00000000" w:rsidRPr="004630ED" w:rsidP="004630ED">
      <w:pPr>
        <w:pStyle w:val="ListBullet2"/>
      </w:pPr>
      <w:r w:rsidRPr="004630ED">
        <w:t>calculating scientific and statistical quantities with or wit</w:t>
      </w:r>
      <w:r w:rsidRPr="004630ED">
        <w:t>hout a calculator/computer software, including at least eight (8) of the following items:</w:t>
      </w:r>
    </w:p>
    <w:p w:rsidR="00000000" w:rsidRPr="004630ED" w:rsidP="004630ED">
      <w:pPr>
        <w:pStyle w:val="ListBullet2"/>
      </w:pPr>
      <w:r w:rsidRPr="004630ED">
        <w:t>converting units involving multiples and submultiples</w:t>
      </w:r>
    </w:p>
    <w:p w:rsidR="00000000" w:rsidRPr="004630ED" w:rsidP="004630ED">
      <w:pPr>
        <w:pStyle w:val="ListBullet2"/>
      </w:pPr>
      <w:r w:rsidRPr="004630ED">
        <w:t>scientific notation, significant figures, round off, estimate and approximate</w:t>
      </w:r>
    </w:p>
    <w:p w:rsidR="00000000" w:rsidRPr="004630ED" w:rsidP="004630ED">
      <w:pPr>
        <w:pStyle w:val="ListBullet2"/>
      </w:pPr>
      <w:r w:rsidRPr="004630ED">
        <w:t>transposing and evaluating formula</w:t>
      </w:r>
      <w:r w:rsidRPr="004630ED">
        <w:t>e</w:t>
      </w:r>
    </w:p>
    <w:p w:rsidR="00000000" w:rsidRPr="004630ED" w:rsidP="004630ED">
      <w:pPr>
        <w:pStyle w:val="ListBullet2"/>
      </w:pPr>
      <w:r w:rsidRPr="004630ED">
        <w:t>fractions, decimals, proportions and percentages</w:t>
      </w:r>
    </w:p>
    <w:p w:rsidR="00000000" w:rsidRPr="004630ED" w:rsidP="004630ED">
      <w:pPr>
        <w:pStyle w:val="ListBullet2"/>
      </w:pPr>
      <w:r w:rsidRPr="004630ED">
        <w:t>percentage and absolute uncertainties in measurements and test results</w:t>
      </w:r>
    </w:p>
    <w:p w:rsidR="00000000" w:rsidRPr="004630ED" w:rsidP="004630ED">
      <w:pPr>
        <w:pStyle w:val="ListBullet2"/>
      </w:pPr>
      <w:r w:rsidRPr="004630ED">
        <w:t>statistical values of data, including mean, median, mode and standard deviation</w:t>
      </w:r>
    </w:p>
    <w:p w:rsidR="00000000" w:rsidRPr="004630ED" w:rsidP="004630ED">
      <w:pPr>
        <w:pStyle w:val="ListBullet2"/>
      </w:pPr>
      <w:r w:rsidRPr="004630ED">
        <w:t>perimeters, angles, areas (m</w:t>
      </w:r>
      <w:r w:rsidRPr="004630ED">
        <w:rPr>
          <w:rStyle w:val="Superscript"/>
        </w:rPr>
        <w:t>2</w:t>
      </w:r>
      <w:r w:rsidRPr="004630ED">
        <w:t>) and volumes (mL, L, m</w:t>
      </w:r>
      <w:r w:rsidRPr="004630ED">
        <w:rPr>
          <w:rStyle w:val="Superscript"/>
        </w:rPr>
        <w:t>3</w:t>
      </w:r>
      <w:r w:rsidRPr="004630ED">
        <w:t>) of regular shapes</w:t>
      </w:r>
    </w:p>
    <w:p w:rsidR="00000000" w:rsidRPr="004630ED" w:rsidP="004630ED">
      <w:pPr>
        <w:pStyle w:val="ListBullet2"/>
      </w:pPr>
      <w:r w:rsidRPr="004630ED">
        <w:t>dose (mg), average mass, mass percentage, density, specific gravity, moisture, relative and absolute humidity, viscosity and permeability</w:t>
      </w:r>
    </w:p>
    <w:p w:rsidR="00000000" w:rsidRPr="004630ED" w:rsidP="004630ED">
      <w:pPr>
        <w:pStyle w:val="ListBullet2"/>
      </w:pPr>
      <w:r w:rsidRPr="004630ED">
        <w:t>ratios, such as mass to mass, mass to volume and volume to volume percentages</w:t>
      </w:r>
    </w:p>
    <w:p w:rsidR="00000000" w:rsidRPr="004630ED" w:rsidP="004630ED">
      <w:pPr>
        <w:pStyle w:val="ListBullet2"/>
      </w:pPr>
      <w:r w:rsidRPr="004630ED">
        <w:t xml:space="preserve">concentration, such </w:t>
      </w:r>
      <w:r w:rsidRPr="004630ED">
        <w:t>as molarity, g/100mL, mg/L, mg/L, ppm, ppb, dilution mL/L</w:t>
      </w:r>
    </w:p>
    <w:p w:rsidR="00000000" w:rsidRPr="004630ED" w:rsidP="004630ED">
      <w:pPr>
        <w:pStyle w:val="ListBullet2"/>
      </w:pPr>
      <w:r w:rsidRPr="004630ED">
        <w:t>average count, colonies per swab surface and cell counts, such as live and dead/total</w:t>
      </w:r>
    </w:p>
    <w:p w:rsidR="00000000" w:rsidRPr="004630ED" w:rsidP="004630ED">
      <w:pPr>
        <w:pStyle w:val="ListBullet2"/>
      </w:pPr>
      <w:r w:rsidRPr="004630ED">
        <w:t>variables, such as pressure, gauge pressure, velocity and flow rates</w:t>
      </w:r>
    </w:p>
    <w:p w:rsidR="00000000" w:rsidRPr="004630ED" w:rsidP="004630ED">
      <w:pPr>
        <w:pStyle w:val="ListBullet2"/>
      </w:pPr>
      <w:r w:rsidRPr="004630ED">
        <w:t>biological oxygen demand (BOD), chemical ox</w:t>
      </w:r>
      <w:r w:rsidRPr="004630ED">
        <w:t>ygen demand (COD) and total organic carbons (TOC)</w:t>
      </w:r>
    </w:p>
    <w:p w:rsidR="00000000" w:rsidRPr="004630ED" w:rsidP="004630ED">
      <w:pPr>
        <w:pStyle w:val="ListBullet2"/>
      </w:pPr>
      <w:r w:rsidRPr="004630ED">
        <w:t>% content of moisture, sulphur dioxide and trace metals, such as calcium or zinc</w:t>
      </w:r>
    </w:p>
    <w:p w:rsidR="00000000" w:rsidRPr="004630ED" w:rsidP="004630ED">
      <w:pPr>
        <w:pStyle w:val="ListBullet"/>
      </w:pPr>
      <w:r w:rsidRPr="004630ED">
        <w:t>presenting accurate results in the required format (e.g. significant figures, uncertainty, units)</w:t>
      </w:r>
    </w:p>
    <w:p w:rsidR="00000000" w:rsidRPr="004630ED" w:rsidP="004630ED">
      <w:pPr>
        <w:pStyle w:val="ListBullet"/>
      </w:pPr>
      <w:r w:rsidRPr="004630ED">
        <w:t>preparing and presenting d</w:t>
      </w:r>
      <w:r w:rsidRPr="004630ED">
        <w:t>ata in forms, such as:</w:t>
      </w:r>
    </w:p>
    <w:p w:rsidR="00000000" w:rsidRPr="004630ED" w:rsidP="004630ED">
      <w:pPr>
        <w:pStyle w:val="ListBullet2"/>
      </w:pPr>
      <w:r w:rsidRPr="004630ED">
        <w:t>tables, graphs, histograms, pie charts, bar charts</w:t>
      </w:r>
    </w:p>
    <w:p w:rsidR="00000000" w:rsidRPr="004630ED" w:rsidP="004630ED">
      <w:pPr>
        <w:pStyle w:val="ListBullet2"/>
      </w:pPr>
      <w:r w:rsidRPr="004630ED">
        <w:t>maps</w:t>
      </w:r>
    </w:p>
    <w:p w:rsidR="00000000" w:rsidRPr="004630ED" w:rsidP="004630ED">
      <w:pPr>
        <w:pStyle w:val="ListBullet"/>
      </w:pPr>
      <w:r w:rsidRPr="004630ED">
        <w:t>recognising significant data points and anomalies</w:t>
      </w:r>
    </w:p>
    <w:p w:rsidR="00000000" w:rsidRPr="004630ED" w:rsidP="004630ED">
      <w:pPr>
        <w:pStyle w:val="ListBullet"/>
      </w:pPr>
      <w:r w:rsidRPr="004630ED">
        <w:t>comparing data with reference values and interpreting variations and trends in data (e.g. seasonal, diurnal, location and non-conformance)</w:t>
      </w:r>
    </w:p>
    <w:p w:rsidR="00000000" w:rsidRPr="004630ED" w:rsidP="004630ED">
      <w:pPr>
        <w:pStyle w:val="ListBullet"/>
      </w:pPr>
      <w:r w:rsidRPr="004630ED">
        <w:t>maintaining the confidentiality of data in accordance with workplace and regulatory requirements</w:t>
      </w:r>
    </w:p>
    <w:p w:rsidR="00000000" w:rsidRPr="004630ED" w:rsidP="004630ED">
      <w:pPr>
        <w:pStyle w:val="ListBullet"/>
      </w:pPr>
      <w:r w:rsidRPr="004630ED">
        <w:t>keeping accurate rec</w:t>
      </w:r>
      <w:r w:rsidRPr="004630ED">
        <w:t>ords that are up-to-date and secure</w:t>
      </w:r>
    </w:p>
    <w:p w:rsidR="00000000" w:rsidRPr="004630ED" w:rsidP="004630ED">
      <w:pPr>
        <w:pStyle w:val="ListBullet"/>
      </w:pPr>
      <w:r w:rsidRPr="004630ED">
        <w:t>seeking advice when issues/problems are beyond scope of competence/responsibility.</w:t>
      </w:r>
    </w:p>
    <w:p w:rsidR="00000000" w:rsidRPr="004630ED" w:rsidP="004630ED">
      <w:pPr>
        <w:pStyle w:val="AllowPageBreak"/>
      </w:pPr>
    </w:p>
    <w:p w:rsidR="00000000" w:rsidRPr="004630ED" w:rsidP="004630ED">
      <w:pPr>
        <w:pStyle w:val="Heading1"/>
      </w:pPr>
      <w:bookmarkStart w:id="3" w:name="O_922087"/>
      <w:bookmarkEnd w:id="3"/>
      <w:r w:rsidRPr="004630ED">
        <w:t>Knowledge Evidence</w:t>
      </w:r>
    </w:p>
    <w:p w:rsidR="00000000" w:rsidRPr="004630ED" w:rsidP="004630ED">
      <w:pPr>
        <w:pStyle w:val="BodyText"/>
      </w:pPr>
      <w:r w:rsidRPr="004630ED">
        <w:t>Must provide evidence that demonstrates knowledge of:</w:t>
      </w:r>
    </w:p>
    <w:p w:rsidR="00000000" w:rsidRPr="004630ED" w:rsidP="004630ED">
      <w:pPr>
        <w:pStyle w:val="ListBullet"/>
      </w:pPr>
      <w:r w:rsidRPr="004630ED">
        <w:t xml:space="preserve">scientific and technical terminology relevant </w:t>
      </w:r>
      <w:r w:rsidRPr="004630ED">
        <w:t>to job role</w:t>
      </w:r>
    </w:p>
    <w:p w:rsidR="00000000" w:rsidRPr="004630ED" w:rsidP="004630ED">
      <w:pPr>
        <w:pStyle w:val="ListBullet"/>
      </w:pPr>
      <w:r w:rsidRPr="004630ED">
        <w:t>procedures for coding, entering, storing, retrieving and communicating data</w:t>
      </w:r>
    </w:p>
    <w:p w:rsidR="00000000" w:rsidRPr="004630ED" w:rsidP="004630ED">
      <w:pPr>
        <w:pStyle w:val="ListBullet"/>
      </w:pPr>
      <w:r w:rsidRPr="004630ED">
        <w:t>international system of units (SI)</w:t>
      </w:r>
    </w:p>
    <w:p w:rsidR="00000000" w:rsidRPr="004630ED" w:rsidP="004630ED">
      <w:pPr>
        <w:pStyle w:val="ListBullet"/>
      </w:pPr>
      <w:r w:rsidRPr="004630ED">
        <w:t>concepts of metrology, including:</w:t>
      </w:r>
    </w:p>
    <w:p w:rsidR="00000000" w:rsidRPr="004630ED" w:rsidP="004630ED">
      <w:pPr>
        <w:pStyle w:val="ListBullet2"/>
      </w:pPr>
      <w:r w:rsidRPr="004630ED">
        <w:t>all measurements are estimates</w:t>
      </w:r>
    </w:p>
    <w:p w:rsidR="00000000" w:rsidRPr="004630ED" w:rsidP="004630ED">
      <w:pPr>
        <w:pStyle w:val="ListBullet2"/>
      </w:pPr>
      <w:r w:rsidRPr="004630ED">
        <w:t>repeated measurements belong to a sample of the measured parameter</w:t>
      </w:r>
    </w:p>
    <w:p w:rsidR="00000000" w:rsidRPr="004630ED" w:rsidP="004630ED">
      <w:pPr>
        <w:pStyle w:val="ListBullet2"/>
      </w:pPr>
      <w:r w:rsidRPr="004630ED">
        <w:t>repeatability, precision, accuracy, significant figures</w:t>
      </w:r>
    </w:p>
    <w:p w:rsidR="00000000" w:rsidRPr="004630ED" w:rsidP="004630ED">
      <w:pPr>
        <w:pStyle w:val="ListBullet2"/>
      </w:pPr>
      <w:r w:rsidRPr="004630ED">
        <w:t>sources of error, uncertainty associated with measurement steps</w:t>
      </w:r>
    </w:p>
    <w:p w:rsidR="00000000" w:rsidRPr="004630ED" w:rsidP="004630ED">
      <w:pPr>
        <w:pStyle w:val="ListBullet2"/>
      </w:pPr>
      <w:r w:rsidRPr="004630ED">
        <w:t>traceability</w:t>
      </w:r>
    </w:p>
    <w:p w:rsidR="00000000" w:rsidRPr="004630ED" w:rsidP="004630ED">
      <w:pPr>
        <w:pStyle w:val="ListBullet"/>
      </w:pPr>
      <w:r w:rsidRPr="004630ED">
        <w:t>procedures for verifying data and rectifying mistakes</w:t>
      </w:r>
    </w:p>
    <w:p w:rsidR="00000000" w:rsidRPr="004630ED" w:rsidP="004630ED">
      <w:pPr>
        <w:pStyle w:val="ListBullet"/>
      </w:pPr>
      <w:r w:rsidRPr="004630ED">
        <w:t>procedures for maintaining and filing records, and maintaining secur</w:t>
      </w:r>
      <w:r w:rsidRPr="004630ED">
        <w:t>ity of data.</w:t>
      </w:r>
    </w:p>
    <w:p w:rsidR="00000000" w:rsidRPr="004630ED" w:rsidP="004630ED">
      <w:pPr>
        <w:pStyle w:val="AllowPageBreak"/>
      </w:pPr>
    </w:p>
    <w:p w:rsidR="00000000" w:rsidRPr="004630ED" w:rsidP="004630ED">
      <w:pPr>
        <w:pStyle w:val="Heading1"/>
      </w:pPr>
      <w:bookmarkStart w:id="4" w:name="O_922086"/>
      <w:bookmarkEnd w:id="4"/>
      <w:r w:rsidRPr="004630ED">
        <w:t>Assessment Conditions</w:t>
      </w:r>
    </w:p>
    <w:p w:rsidR="00000000" w:rsidRPr="004630ED" w:rsidP="004630ED">
      <w:pPr>
        <w:pStyle w:val="ListBullet"/>
      </w:pPr>
      <w:r w:rsidRPr="004630ED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4630ED" w:rsidP="004630ED">
      <w:pPr>
        <w:pStyle w:val="ListBullet"/>
      </w:pPr>
      <w:r w:rsidRPr="004630ED">
        <w:t>This unit of co</w:t>
      </w:r>
      <w:r w:rsidRPr="004630ED">
        <w:t>mpetency is to be assessed in the workplace, or a simulated workplace environment. A simulated workplace environment must reflect realistic operational workplace conditions that cover all aspects of workplace performance, including the environment, task sk</w:t>
      </w:r>
      <w:r w:rsidRPr="004630ED">
        <w:t xml:space="preserve">ills, task management skills, contingency management skills and job role environment skills.  </w:t>
      </w:r>
    </w:p>
    <w:p w:rsidR="00000000" w:rsidRPr="004630ED" w:rsidP="004630ED">
      <w:pPr>
        <w:pStyle w:val="ListBullet"/>
      </w:pPr>
      <w:r w:rsidRPr="004630ED">
        <w:t>Foundation skills are integral to competent performance of the unit and should not be assessed separately. Assessment processes and techniques must be appropriat</w:t>
      </w:r>
      <w:r w:rsidRPr="004630ED">
        <w:t>e to the language, literacy and numeracy requirements of the work being performed and the needs of the candidate.</w:t>
      </w:r>
    </w:p>
    <w:p w:rsidR="00000000" w:rsidRPr="004630ED" w:rsidP="004630ED">
      <w:pPr>
        <w:pStyle w:val="ListBullet"/>
      </w:pPr>
      <w:r w:rsidRPr="004630ED">
        <w:t>Knowledge evidence may be collected concurrently with performance evidence or through an independent process such as workbooks, written assess</w:t>
      </w:r>
      <w:r w:rsidRPr="004630ED">
        <w:t>ments or interviews (provided a record is kept in each case).</w:t>
      </w:r>
    </w:p>
    <w:p w:rsidR="00000000" w:rsidRPr="004630ED" w:rsidP="004630ED">
      <w:pPr>
        <w:pStyle w:val="ListBullet"/>
      </w:pPr>
      <w:r w:rsidRPr="004630ED">
        <w:t xml:space="preserve">Holistic assessment methods include: </w:t>
      </w:r>
    </w:p>
    <w:p w:rsidR="00000000" w:rsidRPr="004630ED" w:rsidP="004630ED">
      <w:pPr>
        <w:pStyle w:val="ListBullet2"/>
      </w:pPr>
      <w:r w:rsidRPr="004630ED">
        <w:t>review of data worksheets, calculations, computer files (such as spreadsheets, databases and statistical analysis), graphs, tables, charts and/or simple ma</w:t>
      </w:r>
      <w:r w:rsidRPr="004630ED">
        <w:t>ps prepared by the candidate</w:t>
      </w:r>
    </w:p>
    <w:p w:rsidR="00000000" w:rsidRPr="004630ED" w:rsidP="004630ED">
      <w:pPr>
        <w:pStyle w:val="ListBullet2"/>
      </w:pPr>
      <w:r w:rsidRPr="004630ED">
        <w:t>review of records transcribed, maintained or stored by the candidate</w:t>
      </w:r>
    </w:p>
    <w:p w:rsidR="00000000" w:rsidRPr="004630ED" w:rsidP="004630ED">
      <w:pPr>
        <w:pStyle w:val="ListBullet2"/>
      </w:pPr>
      <w:r w:rsidRPr="004630ED">
        <w:t>feedback from supervisors about the candidate’s ability to present accurate, reliable data within the agreed timeframe</w:t>
      </w:r>
    </w:p>
    <w:p w:rsidR="00000000" w:rsidRPr="004630ED" w:rsidP="004630ED">
      <w:pPr>
        <w:pStyle w:val="ListBullet2"/>
      </w:pPr>
      <w:r w:rsidRPr="004630ED">
        <w:t>oral and/or written questions to assess the candidate’s understanding of calculations, relevant procedures and their interpretation of data.</w:t>
      </w:r>
    </w:p>
    <w:p w:rsidR="00000000" w:rsidRPr="004630ED" w:rsidP="004630ED">
      <w:pPr>
        <w:pStyle w:val="ListBullet"/>
      </w:pPr>
      <w:r w:rsidRPr="004630ED">
        <w:t>Access is required to all instruments, equipment, materials, workplace documentation, procedures, and specificatio</w:t>
      </w:r>
      <w:r w:rsidRPr="004630ED">
        <w:t>ns associated with this unit, including, but not limited to:</w:t>
      </w:r>
    </w:p>
    <w:p w:rsidR="00000000" w:rsidRPr="004630ED" w:rsidP="004630ED">
      <w:pPr>
        <w:pStyle w:val="ListBullet2"/>
      </w:pPr>
      <w:r w:rsidRPr="004630ED">
        <w:t>calculator, computer and relevant software or laboratory information system</w:t>
      </w:r>
    </w:p>
    <w:p w:rsidR="00000000" w:rsidRPr="004630ED" w:rsidP="004630ED">
      <w:pPr>
        <w:pStyle w:val="ListBullet2"/>
      </w:pPr>
      <w:r w:rsidRPr="004630ED">
        <w:t>environmental data sets and records</w:t>
      </w:r>
    </w:p>
    <w:p w:rsidR="00000000" w:rsidRPr="004630ED" w:rsidP="004630ED">
      <w:pPr>
        <w:pStyle w:val="ListBullet2"/>
      </w:pPr>
      <w:r w:rsidRPr="004630ED">
        <w:t>documentation, including user manuals; workplace procedures for recording, process</w:t>
      </w:r>
      <w:r w:rsidRPr="004630ED">
        <w:t>ing, storing and reporting environmental data; and test/survey methods.</w:t>
      </w:r>
    </w:p>
    <w:p w:rsidR="00000000" w:rsidRPr="004630ED" w:rsidP="004630ED">
      <w:pPr>
        <w:pStyle w:val="ListBullet"/>
      </w:pPr>
      <w:r w:rsidRPr="004630ED">
        <w:t xml:space="preserve">Assessors must satisfy the assessor competency requirements that are in place at the time of the assessment as set by the VET regulator.  </w:t>
      </w:r>
    </w:p>
    <w:p w:rsidR="00000000" w:rsidRPr="004630ED" w:rsidP="004630ED">
      <w:pPr>
        <w:pStyle w:val="ListBullet"/>
      </w:pPr>
      <w:r w:rsidRPr="004630ED">
        <w:t>The assessor must demonstrate both technical</w:t>
      </w:r>
      <w:r w:rsidRPr="004630ED">
        <w:t xml:space="preserve"> competency and currency.</w:t>
      </w:r>
    </w:p>
    <w:p w:rsidR="00000000" w:rsidRPr="004630ED" w:rsidP="004630ED">
      <w:pPr>
        <w:pStyle w:val="ListBullet"/>
      </w:pPr>
      <w:r w:rsidRPr="004630ED">
        <w:t>Technical competence can be demonstrated through:</w:t>
      </w:r>
    </w:p>
    <w:p w:rsidR="00000000" w:rsidRPr="004630ED" w:rsidP="004630ED">
      <w:pPr>
        <w:pStyle w:val="ListBullet2"/>
      </w:pPr>
      <w:r w:rsidRPr="004630ED">
        <w:t>relevant VET or other qualification/Statement of Attainment AND/OR</w:t>
      </w:r>
    </w:p>
    <w:p w:rsidR="00000000" w:rsidRPr="004630ED" w:rsidP="004630ED">
      <w:pPr>
        <w:pStyle w:val="ListBullet2"/>
      </w:pPr>
      <w:r w:rsidRPr="004630ED">
        <w:t>relevant workplace experience.</w:t>
      </w:r>
    </w:p>
    <w:p w:rsidR="00000000" w:rsidRPr="004630ED" w:rsidP="004630ED">
      <w:pPr>
        <w:pStyle w:val="ListBullet"/>
      </w:pPr>
      <w:r w:rsidRPr="004630ED">
        <w:t>Currency can be demonstrated through:</w:t>
      </w:r>
    </w:p>
    <w:p w:rsidR="00000000" w:rsidRPr="004630ED" w:rsidP="004630ED">
      <w:pPr>
        <w:pStyle w:val="ListBullet2"/>
      </w:pPr>
      <w:r w:rsidRPr="004630ED">
        <w:t xml:space="preserve">performing the competency being assessed </w:t>
      </w:r>
      <w:r w:rsidRPr="004630ED">
        <w:t>as part of current employment OR</w:t>
      </w:r>
    </w:p>
    <w:p w:rsidR="00000000" w:rsidRPr="004630ED" w:rsidP="004630ED">
      <w:pPr>
        <w:pStyle w:val="ListBullet2"/>
      </w:pPr>
      <w:r w:rsidRPr="004630ED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4630ED" w:rsidP="004630ED">
      <w:pPr>
        <w:pStyle w:val="AllowPageBreak"/>
      </w:pPr>
    </w:p>
    <w:p w:rsidR="00000000" w:rsidRPr="004630ED" w:rsidP="004630ED">
      <w:pPr>
        <w:pStyle w:val="Heading1"/>
      </w:pPr>
      <w:bookmarkStart w:id="5" w:name="O_922084"/>
      <w:bookmarkEnd w:id="5"/>
      <w:r w:rsidRPr="004630ED">
        <w:t>Links</w:t>
      </w:r>
    </w:p>
    <w:p w:rsidR="00000000" w:rsidRPr="004630ED" w:rsidP="004630ED">
      <w:pPr>
        <w:pStyle w:val="BodyText"/>
      </w:pPr>
      <w:r w:rsidRPr="004630ED">
        <w:t>MSA Training Package Implementation Guides - http://mskills.org.au/training-packages/info/</w:t>
      </w:r>
    </w:p>
    <w:p w:rsidR="00000000" w:rsidRPr="004630ED" w:rsidP="004630ED"/>
    <w:sectPr w:rsidSect="004630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ED" w:rsidRPr="007A1550" w:rsidP="007A1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50" w:rsidP="00463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550" w:rsidP="00463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A1550" w:rsidP="00463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ED" w:rsidRPr="007A1550" w:rsidP="007A15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50" w:rsidRPr="002D2AF8" w:rsidP="00463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MSS024004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A1550" w:rsidP="00463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B09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8C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425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0ED"/>
  </w:style>
  <w:style w:type="character" w:customStyle="1" w:styleId="Heading1Char">
    <w:name w:val="Heading 1 Char"/>
    <w:basedOn w:val="DefaultParagraphFont"/>
    <w:link w:val="Heading1"/>
    <w:rsid w:val="00463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0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0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30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3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4630ED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63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0ED"/>
    <w:rPr>
      <w:b/>
      <w:spacing w:val="0"/>
    </w:rPr>
  </w:style>
  <w:style w:type="paragraph" w:customStyle="1" w:styleId="SuperTitle">
    <w:name w:val="SuperTitle"/>
    <w:basedOn w:val="Title"/>
    <w:rsid w:val="00463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0ED"/>
    <w:rPr>
      <w:i/>
    </w:rPr>
  </w:style>
  <w:style w:type="paragraph" w:styleId="Caption">
    <w:name w:val="caption"/>
    <w:basedOn w:val="BodyText"/>
    <w:next w:val="Normal"/>
    <w:qFormat/>
    <w:rsid w:val="00463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0ED"/>
  </w:style>
  <w:style w:type="paragraph" w:styleId="TableofFigures">
    <w:name w:val="table of figures"/>
    <w:basedOn w:val="Normal"/>
    <w:next w:val="Normal"/>
    <w:semiHidden/>
    <w:rsid w:val="00463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0ED"/>
    <w:pPr>
      <w:numPr>
        <w:numId w:val="11"/>
      </w:numPr>
    </w:pPr>
  </w:style>
  <w:style w:type="character" w:customStyle="1" w:styleId="WingdingSymbols">
    <w:name w:val="Wingding Symbols"/>
    <w:rsid w:val="004630ED"/>
    <w:rPr>
      <w:rFonts w:ascii="Wingdings" w:hAnsi="Wingdings"/>
    </w:rPr>
  </w:style>
  <w:style w:type="paragraph" w:customStyle="1" w:styleId="TableHeading">
    <w:name w:val="Table Heading"/>
    <w:basedOn w:val="HeadingBase"/>
    <w:rsid w:val="00463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0ED"/>
    <w:rPr>
      <w:color w:val="0033CC"/>
      <w:u w:val="none"/>
    </w:rPr>
  </w:style>
  <w:style w:type="paragraph" w:customStyle="1" w:styleId="BodyTextRight">
    <w:name w:val="Body Text Right"/>
    <w:basedOn w:val="BodyText"/>
    <w:rsid w:val="00463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0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0ED"/>
    <w:rPr>
      <w:sz w:val="32"/>
    </w:rPr>
  </w:style>
  <w:style w:type="paragraph" w:customStyle="1" w:styleId="HeadingProcedure">
    <w:name w:val="Heading Procedure"/>
    <w:basedOn w:val="HeadingBase"/>
    <w:next w:val="Normal"/>
    <w:rsid w:val="00463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0ED"/>
    <w:pPr>
      <w:spacing w:before="60" w:after="60"/>
    </w:pPr>
  </w:style>
  <w:style w:type="paragraph" w:styleId="ListContinue">
    <w:name w:val="List Continue"/>
    <w:basedOn w:val="List"/>
    <w:rsid w:val="004630ED"/>
    <w:pPr>
      <w:ind w:firstLine="0"/>
    </w:pPr>
  </w:style>
  <w:style w:type="paragraph" w:customStyle="1" w:styleId="ListNote">
    <w:name w:val="List Note"/>
    <w:basedOn w:val="List"/>
    <w:rsid w:val="00463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0ED"/>
    <w:rPr>
      <w:rFonts w:ascii="Courier New" w:hAnsi="Courier New"/>
    </w:rPr>
  </w:style>
  <w:style w:type="paragraph" w:customStyle="1" w:styleId="NoteBullet">
    <w:name w:val="Note Bullet"/>
    <w:basedOn w:val="Note"/>
    <w:rsid w:val="00463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0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3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0ED"/>
    <w:rPr>
      <w:b/>
      <w:smallCaps/>
    </w:rPr>
  </w:style>
  <w:style w:type="paragraph" w:customStyle="1" w:styleId="TableListNumber">
    <w:name w:val="Table List Number"/>
    <w:basedOn w:val="ListNumber"/>
    <w:rsid w:val="00463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0ED"/>
    <w:pPr>
      <w:numPr>
        <w:numId w:val="9"/>
      </w:numPr>
    </w:pPr>
  </w:style>
  <w:style w:type="paragraph" w:customStyle="1" w:styleId="ListAlpha2">
    <w:name w:val="List Alpha 2"/>
    <w:basedOn w:val="List2"/>
    <w:rsid w:val="004630ED"/>
    <w:pPr>
      <w:numPr>
        <w:numId w:val="8"/>
      </w:numPr>
    </w:pPr>
  </w:style>
  <w:style w:type="paragraph" w:styleId="List2">
    <w:name w:val="List 2"/>
    <w:basedOn w:val="BodyText"/>
    <w:rsid w:val="00463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0E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0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0ED"/>
    <w:pPr>
      <w:numPr>
        <w:numId w:val="4"/>
      </w:numPr>
    </w:pPr>
  </w:style>
  <w:style w:type="paragraph" w:styleId="ListContinue2">
    <w:name w:val="List Continue 2"/>
    <w:basedOn w:val="List2"/>
    <w:rsid w:val="004630ED"/>
    <w:pPr>
      <w:ind w:firstLine="0"/>
    </w:pPr>
  </w:style>
  <w:style w:type="paragraph" w:styleId="ListContinue3">
    <w:name w:val="List Continue 3"/>
    <w:basedOn w:val="List3"/>
    <w:rsid w:val="004630ED"/>
    <w:pPr>
      <w:ind w:left="1021" w:firstLine="0"/>
    </w:pPr>
  </w:style>
  <w:style w:type="paragraph" w:styleId="ListContinue4">
    <w:name w:val="List Continue 4"/>
    <w:basedOn w:val="List4"/>
    <w:rsid w:val="004630ED"/>
    <w:pPr>
      <w:ind w:firstLine="0"/>
    </w:pPr>
  </w:style>
  <w:style w:type="paragraph" w:styleId="ListContinue5">
    <w:name w:val="List Continue 5"/>
    <w:basedOn w:val="List5"/>
    <w:rsid w:val="004630ED"/>
    <w:pPr>
      <w:ind w:firstLine="0"/>
    </w:pPr>
  </w:style>
  <w:style w:type="paragraph" w:styleId="ListNumber3">
    <w:name w:val="List Number 3"/>
    <w:basedOn w:val="List3"/>
    <w:rsid w:val="004630ED"/>
    <w:pPr>
      <w:numPr>
        <w:numId w:val="5"/>
      </w:numPr>
    </w:pPr>
  </w:style>
  <w:style w:type="paragraph" w:styleId="ListNumber4">
    <w:name w:val="List Number 4"/>
    <w:basedOn w:val="List4"/>
    <w:rsid w:val="004630ED"/>
    <w:pPr>
      <w:numPr>
        <w:numId w:val="6"/>
      </w:numPr>
    </w:pPr>
  </w:style>
  <w:style w:type="paragraph" w:styleId="ListNumber5">
    <w:name w:val="List Number 5"/>
    <w:basedOn w:val="List5"/>
    <w:rsid w:val="004630ED"/>
    <w:pPr>
      <w:numPr>
        <w:numId w:val="7"/>
      </w:numPr>
    </w:pPr>
  </w:style>
  <w:style w:type="paragraph" w:styleId="BlockText">
    <w:name w:val="Block Text"/>
    <w:basedOn w:val="Normal"/>
    <w:rsid w:val="00463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0ED"/>
    <w:rPr>
      <w:sz w:val="16"/>
      <w:vertAlign w:val="subscript"/>
    </w:rPr>
  </w:style>
  <w:style w:type="character" w:customStyle="1" w:styleId="Symbols">
    <w:name w:val="Symbols"/>
    <w:basedOn w:val="DefaultParagraphFont"/>
    <w:rsid w:val="004630ED"/>
    <w:rPr>
      <w:rFonts w:ascii="Symbol" w:hAnsi="Symbol"/>
    </w:rPr>
  </w:style>
  <w:style w:type="character" w:customStyle="1" w:styleId="MenuOptions">
    <w:name w:val="Menu Options"/>
    <w:basedOn w:val="DefaultParagraphFont"/>
    <w:rsid w:val="00463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0ED"/>
    <w:rPr>
      <w:b/>
    </w:rPr>
  </w:style>
  <w:style w:type="character" w:customStyle="1" w:styleId="Underlined">
    <w:name w:val="Underlined"/>
    <w:basedOn w:val="DefaultParagraphFont"/>
    <w:rsid w:val="004630ED"/>
    <w:rPr>
      <w:u w:val="single"/>
    </w:rPr>
  </w:style>
  <w:style w:type="paragraph" w:customStyle="1" w:styleId="TableBodyTextRight">
    <w:name w:val="Table Body Text Right"/>
    <w:basedOn w:val="TableBodyText"/>
    <w:rsid w:val="00463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0ED"/>
    <w:rPr>
      <w:sz w:val="18"/>
    </w:rPr>
  </w:style>
  <w:style w:type="paragraph" w:customStyle="1" w:styleId="BodySmallRight">
    <w:name w:val="Body Small Right"/>
    <w:basedOn w:val="BodyTextRight"/>
    <w:rsid w:val="004630ED"/>
    <w:rPr>
      <w:sz w:val="18"/>
      <w:szCs w:val="18"/>
    </w:rPr>
  </w:style>
  <w:style w:type="paragraph" w:customStyle="1" w:styleId="MarginEdition">
    <w:name w:val="Margin Edition"/>
    <w:basedOn w:val="MarginNote"/>
    <w:rsid w:val="00463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0ED"/>
    <w:rPr>
      <w:sz w:val="2"/>
      <w:szCs w:val="2"/>
    </w:rPr>
  </w:style>
  <w:style w:type="character" w:customStyle="1" w:styleId="Small">
    <w:name w:val="Small"/>
    <w:basedOn w:val="DefaultParagraphFont"/>
    <w:rsid w:val="004630ED"/>
    <w:rPr>
      <w:sz w:val="16"/>
    </w:rPr>
  </w:style>
  <w:style w:type="paragraph" w:customStyle="1" w:styleId="WideTable">
    <w:name w:val="Wide Table"/>
    <w:basedOn w:val="Normal"/>
    <w:rsid w:val="00463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0ED"/>
  </w:style>
  <w:style w:type="paragraph" w:styleId="Quote">
    <w:name w:val="Quote"/>
    <w:basedOn w:val="Heading1"/>
    <w:link w:val="QuoteChar"/>
    <w:qFormat/>
    <w:rsid w:val="00463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0ED"/>
    <w:pPr>
      <w:pageBreakBefore/>
    </w:pPr>
  </w:style>
  <w:style w:type="paragraph" w:customStyle="1" w:styleId="Border">
    <w:name w:val="Border"/>
    <w:basedOn w:val="Normal"/>
    <w:qFormat/>
    <w:rsid w:val="00463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0ED"/>
    <w:rPr>
      <w:u w:val="single"/>
    </w:rPr>
  </w:style>
  <w:style w:type="character" w:customStyle="1" w:styleId="BoldandItalics">
    <w:name w:val="Bold and Italics"/>
    <w:qFormat/>
    <w:rsid w:val="004630ED"/>
    <w:rPr>
      <w:b/>
      <w:i/>
      <w:u w:val="none"/>
    </w:rPr>
  </w:style>
  <w:style w:type="paragraph" w:styleId="BalloonText">
    <w:name w:val="Balloon Text"/>
    <w:basedOn w:val="Normal"/>
    <w:link w:val="BalloonTextChar"/>
    <w:rsid w:val="004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0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0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5070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MSS024004 Process and present environmental data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2016-06-22T08:44:00Z</dcterms:created>
  <dcterms:modified xsi:type="dcterms:W3CDTF">2016-06-22T08:44:00Z</dcterms:modified>
</cp:coreProperties>
</file>