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37C" w:rsidP="00AB1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MSS024003 Apply an understanding of environmental principles to a site</w:t>
      </w:r>
      <w:r>
        <w:fldChar w:fldCharType="end"/>
      </w:r>
    </w:p>
    <w:p w:rsidR="00AB137C" w:rsidP="00AB137C">
      <w:pPr>
        <w:pStyle w:val="Version"/>
        <w:sectPr w:rsidSect="00427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D75" w:rsidP="00427D75">
      <w:pPr>
        <w:pStyle w:val="SuperHeading"/>
      </w:pPr>
      <w:r w:rsidRPr="00427D75">
        <w:t>Assessment Requirements for MSS024003 Apply an understanding of environmental principles to a site</w:t>
      </w:r>
    </w:p>
    <w:p w:rsidR="00000000" w:rsidRPr="00427D75" w:rsidP="00427D75">
      <w:pPr>
        <w:pStyle w:val="Heading1"/>
      </w:pPr>
      <w:bookmarkStart w:id="1" w:name="O_922066"/>
      <w:bookmarkEnd w:id="1"/>
      <w:r w:rsidRPr="00427D75">
        <w:t>Modification History</w:t>
      </w:r>
    </w:p>
    <w:p w:rsidR="00000000" w:rsidRPr="00427D75" w:rsidP="00AB137C">
      <w:pPr>
        <w:pStyle w:val="BodyText"/>
      </w:pPr>
      <w:r w:rsidRPr="00427D75">
        <w:t>Release 1. Supersedes and is equivalent to MSS024003A Apply an understanding of environmental principles to a site</w:t>
      </w:r>
    </w:p>
    <w:p w:rsidR="00000000" w:rsidRPr="00427D75" w:rsidP="00427D75">
      <w:pPr>
        <w:pStyle w:val="Heading1"/>
      </w:pPr>
      <w:bookmarkStart w:id="2" w:name="O_922069"/>
      <w:bookmarkEnd w:id="2"/>
      <w:r w:rsidRPr="00427D75">
        <w:t>Performance Evidence</w:t>
      </w:r>
    </w:p>
    <w:p w:rsidR="00000000" w:rsidRPr="00427D75" w:rsidP="00AB137C">
      <w:pPr>
        <w:pStyle w:val="BodyText"/>
      </w:pPr>
      <w:r w:rsidRPr="00427D75">
        <w:t>Evidence of competence in this unit must satisfy all of the requirements of the elements and performance criteria, and include demonstration of:</w:t>
      </w:r>
    </w:p>
    <w:p w:rsidR="00000000" w:rsidRPr="00427D75" w:rsidP="00427D75">
      <w:pPr>
        <w:pStyle w:val="ListBullet"/>
      </w:pPr>
      <w:r w:rsidRPr="00427D75">
        <w:t xml:space="preserve">planning and conducting at least one (1) site appraisal that involves an </w:t>
      </w:r>
      <w:r w:rsidRPr="00427D75">
        <w:t>initial survey and assessment of site condition and a basic ecological field study</w:t>
      </w:r>
    </w:p>
    <w:p w:rsidR="00000000" w:rsidRPr="00427D75" w:rsidP="00427D75">
      <w:pPr>
        <w:pStyle w:val="ListBullet"/>
      </w:pPr>
      <w:r w:rsidRPr="00427D75">
        <w:t>applying relevant aspects of environmental legislative and planning framework to site appraisal</w:t>
      </w:r>
    </w:p>
    <w:p w:rsidR="00000000" w:rsidRPr="00427D75" w:rsidP="00427D75">
      <w:pPr>
        <w:pStyle w:val="ListBullet"/>
      </w:pPr>
      <w:r w:rsidRPr="00427D75">
        <w:t xml:space="preserve">interpreting emergency, safety or environmental management plan requirements </w:t>
      </w:r>
      <w:r w:rsidRPr="00427D75">
        <w:t>and procedures for conducting site inspections, surveys and ecological field studies</w:t>
      </w:r>
    </w:p>
    <w:p w:rsidR="00000000" w:rsidRPr="00427D75" w:rsidP="00427D75">
      <w:pPr>
        <w:pStyle w:val="ListBullet"/>
      </w:pPr>
      <w:r w:rsidRPr="00427D75">
        <w:t>researching, reviewing and summarising site information, including its environmental history</w:t>
      </w:r>
    </w:p>
    <w:p w:rsidR="00000000" w:rsidRPr="00427D75" w:rsidP="00427D75">
      <w:pPr>
        <w:pStyle w:val="ListBullet"/>
      </w:pPr>
      <w:r w:rsidRPr="00427D75">
        <w:t xml:space="preserve">accurately observing and recording the site’s significant features, including </w:t>
      </w:r>
      <w:r w:rsidRPr="00427D75">
        <w:t>the ability to ‘step back’ and carefully consider observations and inferences</w:t>
      </w:r>
    </w:p>
    <w:p w:rsidR="00000000" w:rsidRPr="00427D75" w:rsidP="00427D75">
      <w:pPr>
        <w:pStyle w:val="ListBullet"/>
      </w:pPr>
      <w:r w:rsidRPr="00427D75">
        <w:t>assessing site condition and determining relevant parameters to be measured/sampled during ecological field study</w:t>
      </w:r>
    </w:p>
    <w:p w:rsidR="00000000" w:rsidRPr="00427D75" w:rsidP="00427D75">
      <w:pPr>
        <w:pStyle w:val="ListBullet"/>
      </w:pPr>
      <w:r w:rsidRPr="00427D75">
        <w:t>planning and conducting an ecological study to obtain relevant a</w:t>
      </w:r>
      <w:r w:rsidRPr="00427D75">
        <w:t>nd reliable data</w:t>
      </w:r>
    </w:p>
    <w:p w:rsidR="00000000" w:rsidRPr="00427D75" w:rsidP="00427D75">
      <w:pPr>
        <w:pStyle w:val="ListBullet"/>
      </w:pPr>
      <w:r w:rsidRPr="00427D75">
        <w:t>setting-up, calibrating and using instruments and equipment under laboratory and field conditions</w:t>
      </w:r>
    </w:p>
    <w:p w:rsidR="00000000" w:rsidRPr="00427D75" w:rsidP="00427D75">
      <w:pPr>
        <w:pStyle w:val="ListBullet"/>
      </w:pPr>
      <w:r w:rsidRPr="00427D75">
        <w:t>applying specified methods and data quality procedures to accurately perform field sampling and measurements</w:t>
      </w:r>
    </w:p>
    <w:p w:rsidR="00000000" w:rsidRPr="00427D75" w:rsidP="00427D75">
      <w:pPr>
        <w:pStyle w:val="ListBullet"/>
      </w:pPr>
      <w:r w:rsidRPr="00427D75">
        <w:t xml:space="preserve">applying a working knowledge of </w:t>
      </w:r>
      <w:r w:rsidRPr="00427D75">
        <w:t>relevant terminology, concepts and principles in geology, geomorphology, hydrology and ecology to provide a scientific, systematic appraisal of site environmental condition</w:t>
      </w:r>
    </w:p>
    <w:p w:rsidR="00000000" w:rsidRPr="00427D75" w:rsidP="00427D75">
      <w:pPr>
        <w:pStyle w:val="ListBullet"/>
      </w:pPr>
      <w:r w:rsidRPr="00427D75">
        <w:t>seeking advice when issues/problems are beyond scope of competence/responsibility</w:t>
      </w:r>
    </w:p>
    <w:p w:rsidR="00000000" w:rsidRPr="00427D75" w:rsidP="00427D75">
      <w:pPr>
        <w:pStyle w:val="ListBullet"/>
      </w:pPr>
      <w:r w:rsidRPr="00427D75">
        <w:t>u</w:t>
      </w:r>
      <w:r w:rsidRPr="00427D75">
        <w:t>sing clear and concise verbal communication to convey information and avoid or resolve work conflicts</w:t>
      </w:r>
    </w:p>
    <w:p w:rsidR="00000000" w:rsidRPr="00427D75" w:rsidP="00427D75">
      <w:pPr>
        <w:pStyle w:val="ListBullet"/>
      </w:pPr>
      <w:r w:rsidRPr="00427D75">
        <w:t>preparing concise and accurate reports that contain simple conclusions and interpretations based on raw or summarised data</w:t>
      </w:r>
    </w:p>
    <w:p w:rsidR="00000000" w:rsidRPr="00427D75" w:rsidP="00427D75">
      <w:pPr>
        <w:pStyle w:val="ListBullet"/>
      </w:pPr>
      <w:r w:rsidRPr="00427D75">
        <w:t>following procedures for workin</w:t>
      </w:r>
      <w:r w:rsidRPr="00427D75">
        <w:t>g safely, transporting and storing equipment, minimising environmental impacts and responding to emergency incidents and accidents.</w:t>
      </w:r>
    </w:p>
    <w:p w:rsidR="00000000" w:rsidRPr="00427D75" w:rsidP="00427D75">
      <w:pPr>
        <w:pStyle w:val="AllowPageBreak"/>
      </w:pPr>
    </w:p>
    <w:p w:rsidR="00000000" w:rsidRPr="00427D75" w:rsidP="00427D75">
      <w:pPr>
        <w:pStyle w:val="Heading1"/>
      </w:pPr>
      <w:bookmarkStart w:id="3" w:name="O_922068"/>
      <w:bookmarkEnd w:id="3"/>
      <w:r w:rsidRPr="00427D75">
        <w:t>Knowledge Evidence</w:t>
      </w:r>
    </w:p>
    <w:p w:rsidR="00000000" w:rsidRPr="00427D75" w:rsidP="00AB137C">
      <w:pPr>
        <w:pStyle w:val="BodyText"/>
      </w:pPr>
      <w:r w:rsidRPr="00427D75">
        <w:t>Must provide evidence that demonstrates knowledge of:</w:t>
      </w:r>
    </w:p>
    <w:p w:rsidR="00000000" w:rsidRPr="00427D75" w:rsidP="00427D75">
      <w:pPr>
        <w:pStyle w:val="ListBullet"/>
      </w:pPr>
      <w:r w:rsidRPr="00427D75">
        <w:t>scientific terminology for environmental and ecological systems relevant to job role</w:t>
      </w:r>
    </w:p>
    <w:p w:rsidR="00000000" w:rsidRPr="00427D75" w:rsidP="00427D75">
      <w:pPr>
        <w:pStyle w:val="ListBullet"/>
      </w:pPr>
      <w:r w:rsidRPr="00427D75">
        <w:t>fundamental concepts and principles in chemistry, physics, geology and biology to support a scientific approach to basic field ecology, including:</w:t>
      </w:r>
    </w:p>
    <w:p w:rsidR="00000000" w:rsidRPr="00427D75" w:rsidP="00427D75">
      <w:pPr>
        <w:pStyle w:val="ListBullet2"/>
      </w:pPr>
      <w:r w:rsidRPr="00427D75">
        <w:t>structure of earth syst</w:t>
      </w:r>
      <w:r w:rsidRPr="00427D75">
        <w:t>ems, including lithosphere, hydrosphere, atmosphere and biosphere (ecosphere)</w:t>
      </w:r>
    </w:p>
    <w:p w:rsidR="00000000" w:rsidRPr="00427D75" w:rsidP="00427D75">
      <w:pPr>
        <w:pStyle w:val="ListBullet2"/>
      </w:pPr>
      <w:r w:rsidRPr="00427D75">
        <w:t>geomorphology, climate and hydrology</w:t>
      </w:r>
    </w:p>
    <w:p w:rsidR="00000000" w:rsidRPr="00427D75" w:rsidP="00427D75">
      <w:pPr>
        <w:pStyle w:val="ListBullet2"/>
      </w:pPr>
      <w:r w:rsidRPr="00427D75">
        <w:t>energy and material flows and cycles, including biogeochemical cycles</w:t>
      </w:r>
    </w:p>
    <w:p w:rsidR="00000000" w:rsidRPr="00427D75" w:rsidP="00427D75">
      <w:pPr>
        <w:pStyle w:val="ListBullet"/>
      </w:pPr>
      <w:r w:rsidRPr="00427D75">
        <w:t>fundamentals of ecology, including:</w:t>
      </w:r>
    </w:p>
    <w:p w:rsidR="00000000" w:rsidRPr="00427D75" w:rsidP="00427D75">
      <w:pPr>
        <w:pStyle w:val="ListBullet2"/>
      </w:pPr>
      <w:r w:rsidRPr="00427D75">
        <w:t>ecosphere, biome and major ecosys</w:t>
      </w:r>
      <w:r w:rsidRPr="00427D75">
        <w:t>tem types</w:t>
      </w:r>
    </w:p>
    <w:p w:rsidR="00000000" w:rsidRPr="00427D75" w:rsidP="00427D75">
      <w:pPr>
        <w:pStyle w:val="ListBullet2"/>
      </w:pPr>
      <w:r w:rsidRPr="00427D75">
        <w:t>trophic structure of ecosystems, and hierarchies</w:t>
      </w:r>
    </w:p>
    <w:p w:rsidR="00000000" w:rsidRPr="00427D75" w:rsidP="00427D75">
      <w:pPr>
        <w:pStyle w:val="ListBullet2"/>
      </w:pPr>
      <w:r w:rsidRPr="00427D75">
        <w:t>organism, population, community, ecosystem hierarchy; habitat and biodiversity</w:t>
      </w:r>
    </w:p>
    <w:p w:rsidR="00000000" w:rsidRPr="00427D75" w:rsidP="00427D75">
      <w:pPr>
        <w:pStyle w:val="ListBullet2"/>
      </w:pPr>
      <w:r w:rsidRPr="00427D75">
        <w:t>abiotic and biotic components and their interrelationships and dependencies</w:t>
      </w:r>
    </w:p>
    <w:p w:rsidR="00000000" w:rsidRPr="00427D75" w:rsidP="00427D75">
      <w:pPr>
        <w:pStyle w:val="ListBullet2"/>
      </w:pPr>
      <w:r w:rsidRPr="00427D75">
        <w:t>ecological systems and dynamics; stability</w:t>
      </w:r>
      <w:r w:rsidRPr="00427D75">
        <w:t>, succession and disruption</w:t>
      </w:r>
    </w:p>
    <w:p w:rsidR="00000000" w:rsidRPr="00427D75" w:rsidP="00427D75">
      <w:pPr>
        <w:pStyle w:val="ListBullet"/>
      </w:pPr>
      <w:r w:rsidRPr="00427D75">
        <w:t>specific legislation, policies and codes of practice related to ecological field activities</w:t>
      </w:r>
    </w:p>
    <w:p w:rsidR="00000000" w:rsidRPr="00427D75" w:rsidP="00427D75">
      <w:pPr>
        <w:pStyle w:val="ListBullet"/>
      </w:pPr>
      <w:r w:rsidRPr="00427D75">
        <w:t>ecological, chemical and physical field monitoring procedures relevant to job role</w:t>
      </w:r>
    </w:p>
    <w:p w:rsidR="00000000" w:rsidRPr="00427D75" w:rsidP="00427D75">
      <w:pPr>
        <w:pStyle w:val="ListBullet"/>
      </w:pPr>
      <w:r w:rsidRPr="00427D75">
        <w:t>procedures for maintaining, storing and transporting samples/specimens to ensure their wellbeing, viability and integrity</w:t>
      </w:r>
    </w:p>
    <w:p w:rsidR="00000000" w:rsidRPr="00427D75" w:rsidP="00427D75">
      <w:pPr>
        <w:pStyle w:val="ListBullet"/>
      </w:pPr>
      <w:r w:rsidRPr="00427D75">
        <w:t>relevant hazards; health, safety and environment requirements, including field safety/survival principles.</w:t>
      </w:r>
    </w:p>
    <w:p w:rsidR="00000000" w:rsidRPr="00427D75" w:rsidP="00427D75">
      <w:pPr>
        <w:pStyle w:val="AllowPageBreak"/>
      </w:pPr>
    </w:p>
    <w:p w:rsidR="00000000" w:rsidRPr="00427D75" w:rsidP="00427D75">
      <w:pPr>
        <w:pStyle w:val="Heading1"/>
      </w:pPr>
      <w:bookmarkStart w:id="4" w:name="O_922067"/>
      <w:bookmarkEnd w:id="4"/>
      <w:r w:rsidRPr="00427D75">
        <w:t>Assessment</w:t>
      </w:r>
      <w:r w:rsidRPr="00427D75">
        <w:t xml:space="preserve"> Conditions</w:t>
      </w:r>
    </w:p>
    <w:p w:rsidR="00000000" w:rsidRPr="00427D75" w:rsidP="00427D75">
      <w:pPr>
        <w:pStyle w:val="ListBullet"/>
      </w:pPr>
      <w:r w:rsidRPr="00427D75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427D75" w:rsidP="00427D75">
      <w:pPr>
        <w:pStyle w:val="ListBullet"/>
      </w:pPr>
      <w:r w:rsidRPr="00427D75">
        <w:t>This unit of competency is to be assessed in the workpl</w:t>
      </w:r>
      <w:r w:rsidRPr="00427D75">
        <w:t>ace, or a simulated workplace environment. A simulated workplace environment must reflect realistic operational workplace conditions that cover all aspects of workplace performance, including the environment, task skills, task management skills, contingenc</w:t>
      </w:r>
      <w:r w:rsidRPr="00427D75">
        <w:t xml:space="preserve">y management skills and job role environment skills.  </w:t>
      </w:r>
    </w:p>
    <w:p w:rsidR="00000000" w:rsidRPr="00427D75" w:rsidP="00427D75">
      <w:pPr>
        <w:pStyle w:val="ListBullet"/>
      </w:pPr>
      <w:r w:rsidRPr="00427D75">
        <w:t xml:space="preserve">Foundation skills are integral to competent performance of the unit and should not be assessed separately. </w:t>
      </w:r>
    </w:p>
    <w:p w:rsidR="00000000" w:rsidRPr="00427D75" w:rsidP="00427D75">
      <w:pPr>
        <w:pStyle w:val="ListBullet"/>
      </w:pPr>
      <w:r w:rsidRPr="00427D75">
        <w:t>Assessment processes and techniques must be appropriate to the language, literacy and numerac</w:t>
      </w:r>
      <w:r w:rsidRPr="00427D75">
        <w:t>y requirements of the work being performed and the needs of the candidate.</w:t>
      </w:r>
    </w:p>
    <w:p w:rsidR="00000000" w:rsidRPr="00427D75" w:rsidP="00427D75">
      <w:pPr>
        <w:pStyle w:val="ListBullet"/>
      </w:pPr>
      <w:r w:rsidRPr="00427D75">
        <w:t xml:space="preserve">Knowledge evidence may be collected concurrently with performance evidence or through an independent process such as workbooks, written assessments or interviews (provided a record </w:t>
      </w:r>
      <w:r w:rsidRPr="00427D75">
        <w:t>is kept in each case).</w:t>
      </w:r>
    </w:p>
    <w:p w:rsidR="00000000" w:rsidRPr="00427D75" w:rsidP="00427D75">
      <w:pPr>
        <w:pStyle w:val="ListBullet"/>
      </w:pPr>
      <w:r w:rsidRPr="00427D75">
        <w:t xml:space="preserve">Holistic assessment methods include: </w:t>
      </w:r>
    </w:p>
    <w:p w:rsidR="00000000" w:rsidRPr="00427D75" w:rsidP="00427D75">
      <w:pPr>
        <w:pStyle w:val="ListBullet2"/>
      </w:pPr>
      <w:r w:rsidRPr="00427D75">
        <w:t>review of data, results and site reports prepared by the candidate</w:t>
      </w:r>
    </w:p>
    <w:p w:rsidR="00000000" w:rsidRPr="00427D75" w:rsidP="00427D75">
      <w:pPr>
        <w:pStyle w:val="ListBullet2"/>
      </w:pPr>
      <w:r w:rsidRPr="00427D75">
        <w:t>feedback from supervisors that the candidate consistently follows workplace procedures when conducting site appraisals; works s</w:t>
      </w:r>
      <w:r w:rsidRPr="00427D75">
        <w:t>afely; accurately observes site features; and produces work outputs within agreed timeframes</w:t>
      </w:r>
    </w:p>
    <w:p w:rsidR="00000000" w:rsidRPr="00427D75" w:rsidP="00427D75">
      <w:pPr>
        <w:pStyle w:val="ListBullet2"/>
      </w:pPr>
      <w:r w:rsidRPr="00427D75">
        <w:t>review of candidate’s responses to simulated emergency incidents, accidents and/or field survival scenarios</w:t>
      </w:r>
    </w:p>
    <w:p w:rsidR="00000000" w:rsidRPr="00427D75" w:rsidP="00427D75">
      <w:pPr>
        <w:pStyle w:val="ListBullet2"/>
      </w:pPr>
      <w:r w:rsidRPr="00427D75">
        <w:t>oral and/or written questions to assess the candidate’s</w:t>
      </w:r>
      <w:r w:rsidRPr="00427D75">
        <w:t xml:space="preserve"> understanding of scientific terminology, concepts and principles associated with appraising the environmental condition of sites; regulations and workplace procedures associated with field activities; sampling and measurement methods; and interpretation o</w:t>
      </w:r>
      <w:r w:rsidRPr="00427D75">
        <w:t>f site observations</w:t>
      </w:r>
    </w:p>
    <w:p w:rsidR="00000000" w:rsidRPr="00427D75" w:rsidP="00427D75">
      <w:pPr>
        <w:pStyle w:val="ListBullet2"/>
      </w:pPr>
      <w:r w:rsidRPr="00427D75">
        <w:t>observation of the candidate conducting site appraisals.</w:t>
      </w:r>
    </w:p>
    <w:p w:rsidR="00000000" w:rsidRPr="00427D75" w:rsidP="00427D75">
      <w:pPr>
        <w:pStyle w:val="ListBullet"/>
      </w:pPr>
      <w:r w:rsidRPr="00427D75">
        <w:t>Access is required to all instruments, equipment, materials, workplace documentation, procedures, and specifications associated with this unit, including, but not limited to:</w:t>
      </w:r>
    </w:p>
    <w:p w:rsidR="00000000" w:rsidRPr="00427D75" w:rsidP="00427D75">
      <w:pPr>
        <w:pStyle w:val="ListBullet2"/>
      </w:pPr>
      <w:r w:rsidRPr="00427D75">
        <w:t>access to suitable sites and a vehicle</w:t>
      </w:r>
    </w:p>
    <w:p w:rsidR="00000000" w:rsidRPr="00427D75" w:rsidP="00427D75">
      <w:pPr>
        <w:pStyle w:val="ListBullet2"/>
      </w:pPr>
      <w:r w:rsidRPr="00427D75">
        <w:t>survey equipment, sampling/monitoring equipment, cameras, consumables, maps and flora/fauna keys</w:t>
      </w:r>
    </w:p>
    <w:p w:rsidR="00000000" w:rsidRPr="00427D75" w:rsidP="00427D75">
      <w:pPr>
        <w:pStyle w:val="ListBullet2"/>
      </w:pPr>
      <w:r w:rsidRPr="00427D75">
        <w:t>documentation, including site information, environmental management plans, codes of practice and field protocols, equipm</w:t>
      </w:r>
      <w:r w:rsidRPr="00427D75">
        <w:t>ent manuals, workplace procedures and test/survey methods.</w:t>
      </w:r>
    </w:p>
    <w:p w:rsidR="00000000" w:rsidRPr="00427D75" w:rsidP="00427D75">
      <w:pPr>
        <w:pStyle w:val="ListBullet"/>
      </w:pPr>
      <w:r w:rsidRPr="00427D75">
        <w:t>Assessors must satisfy the assessor competency requirements that are in place at the time of the assessment as set by the VET regulator.</w:t>
      </w:r>
    </w:p>
    <w:p w:rsidR="00000000" w:rsidRPr="00427D75" w:rsidP="00427D75">
      <w:pPr>
        <w:pStyle w:val="ListBullet"/>
      </w:pPr>
      <w:r w:rsidRPr="00427D75">
        <w:t>The assessor must demonstrate both technical competency and</w:t>
      </w:r>
      <w:r w:rsidRPr="00427D75">
        <w:t xml:space="preserve"> currency.</w:t>
      </w:r>
    </w:p>
    <w:p w:rsidR="00000000" w:rsidRPr="00427D75" w:rsidP="00427D75">
      <w:pPr>
        <w:pStyle w:val="ListBullet"/>
      </w:pPr>
      <w:r w:rsidRPr="00427D75">
        <w:t>Technical competence can be demonstrated through:</w:t>
      </w:r>
    </w:p>
    <w:p w:rsidR="00000000" w:rsidRPr="00427D75" w:rsidP="00427D75">
      <w:pPr>
        <w:pStyle w:val="ListBullet2"/>
      </w:pPr>
      <w:r w:rsidRPr="00427D75">
        <w:t>relevant VET or other qualification/Statement of Attainment AND/OR</w:t>
      </w:r>
    </w:p>
    <w:p w:rsidR="00000000" w:rsidRPr="00427D75" w:rsidP="00427D75">
      <w:pPr>
        <w:pStyle w:val="ListBullet2"/>
      </w:pPr>
      <w:r w:rsidRPr="00427D75">
        <w:t xml:space="preserve">relevant workplace experience </w:t>
      </w:r>
    </w:p>
    <w:p w:rsidR="00000000" w:rsidRPr="00427D75" w:rsidP="00427D75">
      <w:pPr>
        <w:pStyle w:val="ListBullet"/>
      </w:pPr>
      <w:r w:rsidRPr="00427D75">
        <w:t>Currency can be demonstrated through:</w:t>
      </w:r>
    </w:p>
    <w:p w:rsidR="00000000" w:rsidRPr="00427D75" w:rsidP="00427D75">
      <w:pPr>
        <w:pStyle w:val="ListBullet2"/>
      </w:pPr>
      <w:r w:rsidRPr="00427D75">
        <w:t>performing the competency being assessed as part of curr</w:t>
      </w:r>
      <w:r w:rsidRPr="00427D75">
        <w:t>ent employment OR</w:t>
      </w:r>
    </w:p>
    <w:p w:rsidR="00000000" w:rsidRPr="00427D75" w:rsidP="00427D75">
      <w:pPr>
        <w:pStyle w:val="ListBullet2"/>
      </w:pPr>
      <w:r w:rsidRPr="00427D75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427D75" w:rsidP="00427D75">
      <w:pPr>
        <w:pStyle w:val="AllowPageBreak"/>
      </w:pPr>
    </w:p>
    <w:p w:rsidR="00000000" w:rsidRPr="00427D75" w:rsidP="00427D75">
      <w:pPr>
        <w:pStyle w:val="Heading1"/>
      </w:pPr>
      <w:bookmarkStart w:id="5" w:name="O_922065"/>
      <w:bookmarkEnd w:id="5"/>
      <w:r w:rsidRPr="00427D75">
        <w:t>Links</w:t>
      </w:r>
    </w:p>
    <w:p w:rsidR="00000000" w:rsidRPr="00427D75" w:rsidP="00AB137C">
      <w:pPr>
        <w:pStyle w:val="BodyText"/>
      </w:pPr>
      <w:r w:rsidRPr="00427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24BC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7D75" w:rsidP="00427D75"/>
    <w:sectPr w:rsidSect="00427D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D75" w:rsidRPr="00AB137C" w:rsidP="00AB1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7C" w:rsidP="0042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37C" w:rsidP="0042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137C" w:rsidP="00427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D75" w:rsidRPr="00AB137C" w:rsidP="00AB1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7C" w:rsidRPr="002D2AF8" w:rsidP="0042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MSS024003 Apply an understanding of environmental principles to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B137C" w:rsidP="00427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4F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26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8C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D75"/>
  </w:style>
  <w:style w:type="character" w:customStyle="1" w:styleId="Heading1Char">
    <w:name w:val="Heading 1 Char"/>
    <w:basedOn w:val="DefaultParagraphFont"/>
    <w:link w:val="Heading1"/>
    <w:rsid w:val="00427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D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7D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D75"/>
    <w:rPr>
      <w:b/>
      <w:spacing w:val="0"/>
    </w:rPr>
  </w:style>
  <w:style w:type="paragraph" w:customStyle="1" w:styleId="SuperTitle">
    <w:name w:val="SuperTitle"/>
    <w:basedOn w:val="Title"/>
    <w:rsid w:val="00427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D75"/>
    <w:rPr>
      <w:i/>
    </w:rPr>
  </w:style>
  <w:style w:type="paragraph" w:styleId="Caption">
    <w:name w:val="caption"/>
    <w:basedOn w:val="BodyText"/>
    <w:next w:val="Normal"/>
    <w:qFormat/>
    <w:rsid w:val="00427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D75"/>
  </w:style>
  <w:style w:type="paragraph" w:styleId="TableofFigures">
    <w:name w:val="table of figures"/>
    <w:basedOn w:val="Normal"/>
    <w:next w:val="Normal"/>
    <w:semiHidden/>
    <w:rsid w:val="00427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D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D75"/>
    <w:rPr>
      <w:rFonts w:ascii="Wingdings" w:hAnsi="Wingdings"/>
    </w:rPr>
  </w:style>
  <w:style w:type="paragraph" w:customStyle="1" w:styleId="TableHeading">
    <w:name w:val="Table Heading"/>
    <w:basedOn w:val="HeadingBase"/>
    <w:rsid w:val="00427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D75"/>
    <w:rPr>
      <w:color w:val="0033CC"/>
      <w:u w:val="none"/>
    </w:rPr>
  </w:style>
  <w:style w:type="paragraph" w:customStyle="1" w:styleId="BodyTextRight">
    <w:name w:val="Body Text Right"/>
    <w:basedOn w:val="BodyText"/>
    <w:rsid w:val="00427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D75"/>
    <w:rPr>
      <w:sz w:val="32"/>
    </w:rPr>
  </w:style>
  <w:style w:type="paragraph" w:customStyle="1" w:styleId="HeadingProcedure">
    <w:name w:val="Heading Procedure"/>
    <w:basedOn w:val="HeadingBase"/>
    <w:next w:val="Normal"/>
    <w:rsid w:val="00427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D75"/>
    <w:pPr>
      <w:spacing w:before="60" w:after="60"/>
    </w:pPr>
  </w:style>
  <w:style w:type="paragraph" w:styleId="ListContinue">
    <w:name w:val="List Continue"/>
    <w:basedOn w:val="List"/>
    <w:rsid w:val="00427D75"/>
    <w:pPr>
      <w:ind w:firstLine="0"/>
    </w:pPr>
  </w:style>
  <w:style w:type="paragraph" w:customStyle="1" w:styleId="ListNote">
    <w:name w:val="List Note"/>
    <w:basedOn w:val="List"/>
    <w:rsid w:val="00427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D75"/>
    <w:rPr>
      <w:rFonts w:ascii="Courier New" w:hAnsi="Courier New"/>
    </w:rPr>
  </w:style>
  <w:style w:type="paragraph" w:customStyle="1" w:styleId="NoteBullet">
    <w:name w:val="Note Bullet"/>
    <w:basedOn w:val="Note"/>
    <w:rsid w:val="00427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D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D75"/>
    <w:rPr>
      <w:b/>
      <w:smallCaps/>
    </w:rPr>
  </w:style>
  <w:style w:type="paragraph" w:customStyle="1" w:styleId="TableListNumber">
    <w:name w:val="Table List Number"/>
    <w:basedOn w:val="ListNumber"/>
    <w:rsid w:val="00427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D75"/>
    <w:pPr>
      <w:numPr>
        <w:numId w:val="9"/>
      </w:numPr>
    </w:pPr>
  </w:style>
  <w:style w:type="paragraph" w:customStyle="1" w:styleId="ListAlpha2">
    <w:name w:val="List Alpha 2"/>
    <w:basedOn w:val="List2"/>
    <w:rsid w:val="00427D75"/>
    <w:pPr>
      <w:numPr>
        <w:numId w:val="8"/>
      </w:numPr>
    </w:pPr>
  </w:style>
  <w:style w:type="paragraph" w:styleId="List2">
    <w:name w:val="List 2"/>
    <w:basedOn w:val="BodyText"/>
    <w:rsid w:val="00427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D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D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D75"/>
    <w:pPr>
      <w:numPr>
        <w:numId w:val="4"/>
      </w:numPr>
    </w:pPr>
  </w:style>
  <w:style w:type="paragraph" w:styleId="ListContinue2">
    <w:name w:val="List Continue 2"/>
    <w:basedOn w:val="List2"/>
    <w:rsid w:val="00427D75"/>
    <w:pPr>
      <w:ind w:firstLine="0"/>
    </w:pPr>
  </w:style>
  <w:style w:type="paragraph" w:styleId="ListContinue3">
    <w:name w:val="List Continue 3"/>
    <w:basedOn w:val="List3"/>
    <w:rsid w:val="00427D75"/>
    <w:pPr>
      <w:ind w:left="1021" w:firstLine="0"/>
    </w:pPr>
  </w:style>
  <w:style w:type="paragraph" w:styleId="ListContinue4">
    <w:name w:val="List Continue 4"/>
    <w:basedOn w:val="List4"/>
    <w:rsid w:val="00427D75"/>
    <w:pPr>
      <w:ind w:firstLine="0"/>
    </w:pPr>
  </w:style>
  <w:style w:type="paragraph" w:styleId="ListContinue5">
    <w:name w:val="List Continue 5"/>
    <w:basedOn w:val="List5"/>
    <w:rsid w:val="00427D75"/>
    <w:pPr>
      <w:ind w:firstLine="0"/>
    </w:pPr>
  </w:style>
  <w:style w:type="paragraph" w:styleId="ListNumber3">
    <w:name w:val="List Number 3"/>
    <w:basedOn w:val="List3"/>
    <w:rsid w:val="00427D75"/>
    <w:pPr>
      <w:numPr>
        <w:numId w:val="5"/>
      </w:numPr>
    </w:pPr>
  </w:style>
  <w:style w:type="paragraph" w:styleId="ListNumber4">
    <w:name w:val="List Number 4"/>
    <w:basedOn w:val="List4"/>
    <w:rsid w:val="00427D75"/>
    <w:pPr>
      <w:numPr>
        <w:numId w:val="6"/>
      </w:numPr>
    </w:pPr>
  </w:style>
  <w:style w:type="paragraph" w:styleId="ListNumber5">
    <w:name w:val="List Number 5"/>
    <w:basedOn w:val="List5"/>
    <w:rsid w:val="00427D75"/>
    <w:pPr>
      <w:numPr>
        <w:numId w:val="7"/>
      </w:numPr>
    </w:pPr>
  </w:style>
  <w:style w:type="paragraph" w:styleId="BlockText">
    <w:name w:val="Block Text"/>
    <w:basedOn w:val="Normal"/>
    <w:rsid w:val="00427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D75"/>
    <w:rPr>
      <w:sz w:val="16"/>
      <w:vertAlign w:val="superscript"/>
    </w:rPr>
  </w:style>
  <w:style w:type="character" w:customStyle="1" w:styleId="Symbols">
    <w:name w:val="Symbols"/>
    <w:basedOn w:val="DefaultParagraphFont"/>
    <w:rsid w:val="00427D75"/>
    <w:rPr>
      <w:rFonts w:ascii="Symbol" w:hAnsi="Symbol"/>
    </w:rPr>
  </w:style>
  <w:style w:type="character" w:customStyle="1" w:styleId="MenuOptions">
    <w:name w:val="Menu Options"/>
    <w:basedOn w:val="DefaultParagraphFont"/>
    <w:rsid w:val="00427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D75"/>
    <w:rPr>
      <w:b/>
    </w:rPr>
  </w:style>
  <w:style w:type="character" w:customStyle="1" w:styleId="Underlined">
    <w:name w:val="Underlined"/>
    <w:basedOn w:val="DefaultParagraphFont"/>
    <w:rsid w:val="00427D75"/>
    <w:rPr>
      <w:u w:val="single"/>
    </w:rPr>
  </w:style>
  <w:style w:type="paragraph" w:customStyle="1" w:styleId="TableBodyTextRight">
    <w:name w:val="Table Body Text Right"/>
    <w:basedOn w:val="TableBodyText"/>
    <w:rsid w:val="00427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D75"/>
    <w:rPr>
      <w:sz w:val="18"/>
    </w:rPr>
  </w:style>
  <w:style w:type="paragraph" w:customStyle="1" w:styleId="BodySmallRight">
    <w:name w:val="Body Small Right"/>
    <w:basedOn w:val="BodyTextRight"/>
    <w:rsid w:val="00427D75"/>
    <w:rPr>
      <w:sz w:val="18"/>
      <w:szCs w:val="18"/>
    </w:rPr>
  </w:style>
  <w:style w:type="paragraph" w:customStyle="1" w:styleId="MarginEdition">
    <w:name w:val="Margin Edition"/>
    <w:basedOn w:val="MarginNote"/>
    <w:rsid w:val="00427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D75"/>
    <w:rPr>
      <w:sz w:val="2"/>
      <w:szCs w:val="2"/>
    </w:rPr>
  </w:style>
  <w:style w:type="character" w:customStyle="1" w:styleId="Small">
    <w:name w:val="Small"/>
    <w:basedOn w:val="DefaultParagraphFont"/>
    <w:rsid w:val="00427D75"/>
    <w:rPr>
      <w:sz w:val="16"/>
    </w:rPr>
  </w:style>
  <w:style w:type="paragraph" w:customStyle="1" w:styleId="WideTable">
    <w:name w:val="Wide Table"/>
    <w:basedOn w:val="Normal"/>
    <w:rsid w:val="00427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D75"/>
  </w:style>
  <w:style w:type="paragraph" w:styleId="Quote">
    <w:name w:val="Quote"/>
    <w:basedOn w:val="Heading1"/>
    <w:link w:val="QuoteChar"/>
    <w:qFormat/>
    <w:rsid w:val="00427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D75"/>
    <w:pPr>
      <w:pageBreakBefore/>
    </w:pPr>
  </w:style>
  <w:style w:type="paragraph" w:customStyle="1" w:styleId="Border">
    <w:name w:val="Border"/>
    <w:basedOn w:val="Normal"/>
    <w:qFormat/>
    <w:rsid w:val="00427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D75"/>
    <w:rPr>
      <w:u w:val="single"/>
    </w:rPr>
  </w:style>
  <w:style w:type="character" w:customStyle="1" w:styleId="BoldandItalics">
    <w:name w:val="Bold and Italics"/>
    <w:qFormat/>
    <w:rsid w:val="00427D75"/>
    <w:rPr>
      <w:b/>
      <w:i/>
      <w:u w:val="none"/>
    </w:rPr>
  </w:style>
  <w:style w:type="paragraph" w:styleId="BalloonText">
    <w:name w:val="Balloon Text"/>
    <w:basedOn w:val="Normal"/>
    <w:link w:val="BalloonTextChar"/>
    <w:rsid w:val="00427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D75"/>
    <w:pPr>
      <w:spacing w:before="0" w:after="0"/>
    </w:pPr>
  </w:style>
  <w:style w:type="paragraph" w:customStyle="1" w:styleId="BodyTextBold">
    <w:name w:val="Body Text Bold"/>
    <w:basedOn w:val="BodyText"/>
    <w:qFormat/>
    <w:rsid w:val="00427D75"/>
    <w:rPr>
      <w:b/>
    </w:rPr>
  </w:style>
  <w:style w:type="character" w:styleId="Hyperlink">
    <w:name w:val="Hyperlink"/>
    <w:basedOn w:val="DefaultParagraphFont"/>
    <w:uiPriority w:val="99"/>
    <w:unhideWhenUsed/>
    <w:rsid w:val="00AB1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6003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MSS024003 Apply an understanding of environmental principles to a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