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4FD" w:rsidP="00884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MSS017023 Establish collaborative business arrangements</w:t>
      </w:r>
      <w:r>
        <w:fldChar w:fldCharType="end"/>
      </w:r>
    </w:p>
    <w:p w:rsidR="008844FD" w:rsidP="008844FD">
      <w:pPr>
        <w:pStyle w:val="Version"/>
        <w:sectPr w:rsidSect="009E2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63B" w:rsidP="009E263B">
      <w:pPr>
        <w:pStyle w:val="SuperHeading"/>
      </w:pPr>
      <w:r w:rsidRPr="009E263B">
        <w:t>Assessment Requirements for MSS017023 Establish collaborative business arrangements</w:t>
      </w:r>
    </w:p>
    <w:p w:rsidR="00000000" w:rsidRPr="009E263B" w:rsidP="009E263B">
      <w:pPr>
        <w:pStyle w:val="Heading1"/>
      </w:pPr>
      <w:bookmarkStart w:id="1" w:name="O_1262121"/>
      <w:bookmarkEnd w:id="1"/>
      <w:r w:rsidRPr="009E263B">
        <w:t>Modification History</w:t>
      </w:r>
    </w:p>
    <w:p w:rsidR="00000000" w:rsidRPr="009E263B" w:rsidP="008844FD">
      <w:pPr>
        <w:pStyle w:val="BodyText"/>
      </w:pPr>
      <w:r w:rsidRPr="009E263B">
        <w:t xml:space="preserve">Release 1. New unit. </w:t>
      </w:r>
    </w:p>
    <w:p w:rsidR="00000000" w:rsidRPr="009E263B" w:rsidP="009E263B">
      <w:pPr>
        <w:pStyle w:val="Heading1"/>
      </w:pPr>
      <w:bookmarkStart w:id="2" w:name="O_1262122"/>
      <w:bookmarkEnd w:id="2"/>
      <w:r w:rsidRPr="009E263B">
        <w:t>Performance Evidence</w:t>
      </w:r>
    </w:p>
    <w:p w:rsidR="00000000" w:rsidRPr="009E263B" w:rsidP="008844FD">
      <w:pPr>
        <w:pStyle w:val="BodyText"/>
      </w:pPr>
      <w:r w:rsidRPr="009E263B">
        <w:t>There must be evidence the candidate has completed the tasks outlined in the elements and performance criteria of this unit, and demonstrated the ability to:</w:t>
      </w:r>
    </w:p>
    <w:p w:rsidR="00000000" w:rsidRPr="009E263B" w:rsidP="009E263B">
      <w:pPr>
        <w:pStyle w:val="ListBullet"/>
      </w:pPr>
      <w:r w:rsidRPr="009E263B">
        <w:t>identify at least 3 areas of opportunity for collaborative arrangements</w:t>
      </w:r>
    </w:p>
    <w:p w:rsidR="00000000" w:rsidRPr="009E263B" w:rsidP="009E263B">
      <w:pPr>
        <w:pStyle w:val="ListBullet"/>
      </w:pPr>
      <w:r w:rsidRPr="009E263B">
        <w:t>work with at least 3 exte</w:t>
      </w:r>
      <w:r w:rsidRPr="009E263B">
        <w:t>rnal stakeholders to develop details of at least 2 options for collaboration</w:t>
      </w:r>
    </w:p>
    <w:p w:rsidR="008844FD" w:rsidP="009E263B">
      <w:pPr>
        <w:pStyle w:val="ListBullet"/>
      </w:pPr>
      <w:r w:rsidRPr="009E263B">
        <w:t>confirm arrangements for and facilitate implementation of at least one collaboration.</w:t>
      </w:r>
    </w:p>
    <w:p w:rsidR="008844FD" w:rsidP="009E263B">
      <w:pPr>
        <w:pStyle w:val="ListBullet"/>
      </w:pPr>
    </w:p>
    <w:p w:rsidR="00000000" w:rsidRPr="009E263B" w:rsidP="009E263B">
      <w:pPr>
        <w:pStyle w:val="Heading1"/>
      </w:pPr>
      <w:bookmarkStart w:id="3" w:name="O_1262123"/>
      <w:bookmarkEnd w:id="3"/>
      <w:r w:rsidRPr="009E263B">
        <w:t>Knowledge Evidence</w:t>
      </w:r>
    </w:p>
    <w:p w:rsidR="00000000" w:rsidRPr="009E263B" w:rsidP="008844FD">
      <w:pPr>
        <w:pStyle w:val="BodyText"/>
      </w:pPr>
      <w:r w:rsidRPr="009E263B">
        <w:t>There must be evidence the candidate has knowledge of:</w:t>
      </w:r>
    </w:p>
    <w:p w:rsidR="00000000" w:rsidRPr="009E263B" w:rsidP="009E263B">
      <w:pPr>
        <w:pStyle w:val="ListBullet"/>
      </w:pPr>
      <w:r w:rsidRPr="009E263B">
        <w:t xml:space="preserve">values, principles and practices to support sustainability and circularity </w:t>
      </w:r>
    </w:p>
    <w:p w:rsidR="00000000" w:rsidRPr="009E263B" w:rsidP="009E263B">
      <w:pPr>
        <w:pStyle w:val="ListBullet"/>
      </w:pPr>
      <w:r w:rsidRPr="009E263B">
        <w:t>circular business models and their potential for collaborative arrangements</w:t>
      </w:r>
    </w:p>
    <w:p w:rsidR="00000000" w:rsidRPr="009E263B" w:rsidP="009E263B">
      <w:pPr>
        <w:pStyle w:val="ListBullet"/>
      </w:pPr>
      <w:r w:rsidRPr="009E263B">
        <w:t>current and emerging collaborative arrangements that support sustainability, including at least 3 of t</w:t>
      </w:r>
      <w:r w:rsidRPr="009E263B">
        <w:t>he following:</w:t>
      </w:r>
    </w:p>
    <w:p w:rsidR="00000000" w:rsidRPr="009E263B" w:rsidP="009E263B">
      <w:pPr>
        <w:pStyle w:val="ListBullet2"/>
      </w:pPr>
      <w:r w:rsidRPr="009E263B">
        <w:t>ecosystem partnerships</w:t>
      </w:r>
    </w:p>
    <w:p w:rsidR="00000000" w:rsidRPr="009E263B" w:rsidP="009E263B">
      <w:pPr>
        <w:pStyle w:val="ListBullet2"/>
      </w:pPr>
      <w:r w:rsidRPr="009E263B">
        <w:t xml:space="preserve">Collective Impact Framework </w:t>
      </w:r>
    </w:p>
    <w:p w:rsidR="00000000" w:rsidRPr="009E263B" w:rsidP="009E263B">
      <w:pPr>
        <w:pStyle w:val="ListBullet2"/>
      </w:pPr>
      <w:r w:rsidRPr="009E263B">
        <w:t>Shared Value Initiative</w:t>
      </w:r>
    </w:p>
    <w:p w:rsidR="00000000" w:rsidRPr="009E263B" w:rsidP="009E263B">
      <w:pPr>
        <w:pStyle w:val="ListBullet2"/>
      </w:pPr>
      <w:r w:rsidRPr="009E263B">
        <w:t>precincts or hubs</w:t>
      </w:r>
    </w:p>
    <w:p w:rsidR="00000000" w:rsidRPr="009E263B" w:rsidP="009E263B">
      <w:pPr>
        <w:pStyle w:val="ListBullet2"/>
      </w:pPr>
      <w:r w:rsidRPr="009E263B">
        <w:t>supply chain focus</w:t>
      </w:r>
    </w:p>
    <w:p w:rsidR="00000000" w:rsidRPr="009E263B" w:rsidP="009E263B">
      <w:pPr>
        <w:pStyle w:val="ListBullet2"/>
      </w:pPr>
      <w:r w:rsidRPr="009E263B">
        <w:t>resource recovery focus</w:t>
      </w:r>
    </w:p>
    <w:p w:rsidR="00000000" w:rsidRPr="009E263B" w:rsidP="009E263B">
      <w:pPr>
        <w:pStyle w:val="ListBullet"/>
      </w:pPr>
      <w:r w:rsidRPr="009E263B">
        <w:t>techniques to facilitate communication and engagement with internal and external stakeholders</w:t>
      </w:r>
    </w:p>
    <w:p w:rsidR="00000000" w:rsidRPr="009E263B" w:rsidP="009E263B">
      <w:pPr>
        <w:pStyle w:val="ListBullet"/>
      </w:pPr>
      <w:r w:rsidRPr="009E263B">
        <w:t>types of structural, personal and cultural barriers that may affect communication and engagement</w:t>
      </w:r>
    </w:p>
    <w:p w:rsidR="00000000" w:rsidRPr="009E263B" w:rsidP="009E263B">
      <w:pPr>
        <w:pStyle w:val="ListBullet"/>
      </w:pPr>
      <w:r w:rsidRPr="009E263B">
        <w:t xml:space="preserve">techniques to address barriers and support communication and engagement </w:t>
      </w:r>
    </w:p>
    <w:p w:rsidR="00000000" w:rsidRPr="009E263B" w:rsidP="009E263B">
      <w:pPr>
        <w:pStyle w:val="ListBullet"/>
      </w:pPr>
      <w:r w:rsidRPr="009E263B">
        <w:t>communication styles, methods and media to suit a range of audiences</w:t>
      </w:r>
    </w:p>
    <w:p w:rsidR="00000000" w:rsidRPr="009E263B" w:rsidP="009E263B">
      <w:pPr>
        <w:pStyle w:val="ListBullet"/>
      </w:pPr>
      <w:r w:rsidRPr="009E263B">
        <w:t>influence, persua</w:t>
      </w:r>
      <w:r w:rsidRPr="009E263B">
        <w:t>sion and negotiation techniques </w:t>
      </w:r>
    </w:p>
    <w:p w:rsidR="00000000" w:rsidRPr="009E263B" w:rsidP="009E263B">
      <w:pPr>
        <w:pStyle w:val="ListBullet"/>
      </w:pPr>
      <w:r w:rsidRPr="009E263B">
        <w:t>organisation’s communication protocols and confidentiality requirements</w:t>
      </w:r>
    </w:p>
    <w:p w:rsidR="00000000" w:rsidRPr="009E263B" w:rsidP="009E263B">
      <w:pPr>
        <w:pStyle w:val="ListBullet"/>
      </w:pPr>
      <w:r w:rsidRPr="009E263B">
        <w:t>legislation, regulations and codes of practice relevant to sustainability and business governance</w:t>
      </w:r>
    </w:p>
    <w:p w:rsidR="00000000" w:rsidRPr="009E263B" w:rsidP="009E263B">
      <w:pPr>
        <w:pStyle w:val="ListBullet"/>
      </w:pPr>
      <w:r w:rsidRPr="009E263B">
        <w:t>approaches to quantifying and evaluating costs, benef</w:t>
      </w:r>
      <w:r w:rsidRPr="009E263B">
        <w:t>its, impacts and risks in relation to sustainability, including direct, indirect and intangible factors</w:t>
      </w:r>
    </w:p>
    <w:p w:rsidR="00000000" w:rsidRPr="009E263B" w:rsidP="009E263B">
      <w:pPr>
        <w:pStyle w:val="ListBullet"/>
      </w:pPr>
      <w:r w:rsidRPr="009E263B">
        <w:t xml:space="preserve">areas of agreement typically required for collaborative business arrangements, including: </w:t>
      </w:r>
    </w:p>
    <w:p w:rsidR="00000000" w:rsidRPr="009E263B" w:rsidP="009E263B">
      <w:pPr>
        <w:pStyle w:val="ListBullet2"/>
      </w:pPr>
      <w:r w:rsidRPr="009E263B">
        <w:t>goals and/or expected benefits</w:t>
      </w:r>
    </w:p>
    <w:p w:rsidR="00000000" w:rsidRPr="009E263B" w:rsidP="009E263B">
      <w:pPr>
        <w:pStyle w:val="ListBullet2"/>
      </w:pPr>
      <w:r w:rsidRPr="009E263B">
        <w:t>share of financial contributions and benefits for each party and how calculated</w:t>
      </w:r>
    </w:p>
    <w:p w:rsidR="00000000" w:rsidRPr="009E263B" w:rsidP="009E263B">
      <w:pPr>
        <w:pStyle w:val="ListBullet2"/>
      </w:pPr>
      <w:r w:rsidRPr="009E263B">
        <w:t>methods of measuring or quantifying progress, success, impacts and non-financial factors</w:t>
      </w:r>
    </w:p>
    <w:p w:rsidR="00000000" w:rsidRPr="009E263B" w:rsidP="009E263B">
      <w:pPr>
        <w:pStyle w:val="ListBullet2"/>
      </w:pPr>
      <w:r w:rsidRPr="009E263B">
        <w:t>responsibilities for compliance and risk</w:t>
      </w:r>
    </w:p>
    <w:p w:rsidR="00000000" w:rsidRPr="009E263B" w:rsidP="009E263B">
      <w:pPr>
        <w:pStyle w:val="ListBullet2"/>
      </w:pPr>
      <w:r w:rsidRPr="009E263B">
        <w:t>ownership of intellectual property, products a</w:t>
      </w:r>
      <w:r w:rsidRPr="009E263B">
        <w:t>nd outcomes</w:t>
      </w:r>
    </w:p>
    <w:p w:rsidR="00000000" w:rsidRPr="009E263B" w:rsidP="009E263B">
      <w:pPr>
        <w:pStyle w:val="ListBullet2"/>
      </w:pPr>
      <w:r w:rsidRPr="009E263B">
        <w:t>activities and deliverables</w:t>
      </w:r>
    </w:p>
    <w:p w:rsidR="008844FD" w:rsidP="009E263B">
      <w:pPr>
        <w:pStyle w:val="ListBullet2"/>
      </w:pPr>
      <w:r w:rsidRPr="009E263B">
        <w:t xml:space="preserve">governance arrangement and roles and responsibilities of each party.   </w:t>
      </w:r>
    </w:p>
    <w:p w:rsidR="008844FD" w:rsidP="009E263B">
      <w:pPr>
        <w:pStyle w:val="ListBullet2"/>
      </w:pPr>
    </w:p>
    <w:p w:rsidR="00000000" w:rsidRPr="009E263B" w:rsidP="009E263B">
      <w:pPr>
        <w:pStyle w:val="Heading1"/>
      </w:pPr>
      <w:bookmarkStart w:id="4" w:name="O_1262124"/>
      <w:bookmarkEnd w:id="4"/>
      <w:r w:rsidRPr="009E263B">
        <w:t>Assessment Conditions</w:t>
      </w:r>
    </w:p>
    <w:p w:rsidR="00000000" w:rsidRPr="009E263B" w:rsidP="008844FD">
      <w:pPr>
        <w:pStyle w:val="BodyText"/>
      </w:pPr>
      <w:r w:rsidRPr="009E263B">
        <w:t>Skills must have been demonstrated in the workplace or in a simulated environment that reflects workpl</w:t>
      </w:r>
      <w:r w:rsidRPr="009E263B">
        <w:t xml:space="preserve">ace conditions and contingencies. The following conditions must be met for this unit: </w:t>
      </w:r>
    </w:p>
    <w:p w:rsidR="00000000" w:rsidRPr="009E263B" w:rsidP="009E263B">
      <w:pPr>
        <w:pStyle w:val="ListBullet"/>
      </w:pPr>
      <w:r w:rsidRPr="009E263B">
        <w:t>use of suitable facilities, equipment and resources</w:t>
      </w:r>
    </w:p>
    <w:p w:rsidR="00000000" w:rsidRPr="009E263B" w:rsidP="009E263B">
      <w:pPr>
        <w:pStyle w:val="ListBullet"/>
      </w:pPr>
      <w:r w:rsidRPr="009E263B">
        <w:t xml:space="preserve">modelling of industry operating conditions. </w:t>
      </w:r>
    </w:p>
    <w:p w:rsidR="008844FD" w:rsidP="008844FD">
      <w:pPr>
        <w:pStyle w:val="BodyText"/>
      </w:pPr>
      <w:r w:rsidRPr="009E263B">
        <w:t>Assessors must satisfy the NVR/AQTF mandatory competency requirements f</w:t>
      </w:r>
      <w:r w:rsidRPr="009E263B">
        <w:t>or assessors.</w:t>
      </w:r>
    </w:p>
    <w:p w:rsidR="00000000" w:rsidRPr="009E263B" w:rsidP="009E263B">
      <w:pPr>
        <w:pStyle w:val="Heading1"/>
      </w:pPr>
      <w:bookmarkStart w:id="5" w:name="O_1262127"/>
      <w:bookmarkEnd w:id="5"/>
      <w:r w:rsidRPr="009E263B">
        <w:t>Links</w:t>
      </w:r>
    </w:p>
    <w:p w:rsidR="00000000" w:rsidRPr="009E263B" w:rsidP="008844FD">
      <w:pPr>
        <w:pStyle w:val="BodyText"/>
      </w:pPr>
      <w:r w:rsidRPr="009E26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508B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E263B" w:rsidP="009E263B"/>
    <w:sectPr w:rsidSect="009E26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3B" w:rsidRPr="008844FD" w:rsidP="00884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FD" w:rsidP="009E2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44FD" w:rsidP="009E2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44FD" w:rsidP="009E2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63B" w:rsidRPr="008844FD" w:rsidP="00884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FD" w:rsidRPr="002D2AF8" w:rsidP="009E2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MSS017023 Establish collaborative business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844FD" w:rsidP="009E2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5402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70C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746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63B"/>
  </w:style>
  <w:style w:type="character" w:customStyle="1" w:styleId="Heading1Char">
    <w:name w:val="Heading 1 Char"/>
    <w:basedOn w:val="DefaultParagraphFont"/>
    <w:link w:val="Heading1"/>
    <w:rsid w:val="009E2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6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6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26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2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6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63B"/>
    <w:rPr>
      <w:b/>
      <w:spacing w:val="0"/>
    </w:rPr>
  </w:style>
  <w:style w:type="paragraph" w:customStyle="1" w:styleId="SuperTitle">
    <w:name w:val="SuperTitle"/>
    <w:basedOn w:val="Title"/>
    <w:rsid w:val="009E2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6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63B"/>
    <w:rPr>
      <w:i/>
    </w:rPr>
  </w:style>
  <w:style w:type="paragraph" w:styleId="Caption">
    <w:name w:val="caption"/>
    <w:basedOn w:val="BodyText"/>
    <w:next w:val="Normal"/>
    <w:qFormat/>
    <w:rsid w:val="009E2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63B"/>
  </w:style>
  <w:style w:type="paragraph" w:styleId="TableofFigures">
    <w:name w:val="table of figures"/>
    <w:basedOn w:val="Normal"/>
    <w:next w:val="Normal"/>
    <w:semiHidden/>
    <w:rsid w:val="009E2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6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263B"/>
    <w:rPr>
      <w:rFonts w:ascii="Wingdings" w:hAnsi="Wingdings"/>
    </w:rPr>
  </w:style>
  <w:style w:type="paragraph" w:customStyle="1" w:styleId="TableHeading">
    <w:name w:val="Table Heading"/>
    <w:basedOn w:val="HeadingBase"/>
    <w:rsid w:val="009E2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63B"/>
    <w:rPr>
      <w:color w:val="0033CC"/>
      <w:u w:val="none"/>
    </w:rPr>
  </w:style>
  <w:style w:type="paragraph" w:customStyle="1" w:styleId="BodyTextRight">
    <w:name w:val="Body Text Right"/>
    <w:basedOn w:val="BodyText"/>
    <w:rsid w:val="009E2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6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63B"/>
    <w:rPr>
      <w:sz w:val="32"/>
    </w:rPr>
  </w:style>
  <w:style w:type="paragraph" w:customStyle="1" w:styleId="HeadingProcedure">
    <w:name w:val="Heading Procedure"/>
    <w:basedOn w:val="HeadingBase"/>
    <w:next w:val="Normal"/>
    <w:rsid w:val="009E2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63B"/>
    <w:pPr>
      <w:spacing w:before="60" w:after="60"/>
    </w:pPr>
  </w:style>
  <w:style w:type="paragraph" w:styleId="ListContinue">
    <w:name w:val="List Continue"/>
    <w:basedOn w:val="List"/>
    <w:rsid w:val="009E263B"/>
    <w:pPr>
      <w:ind w:firstLine="0"/>
    </w:pPr>
  </w:style>
  <w:style w:type="paragraph" w:customStyle="1" w:styleId="ListNote">
    <w:name w:val="List Note"/>
    <w:basedOn w:val="List"/>
    <w:rsid w:val="009E2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63B"/>
    <w:rPr>
      <w:rFonts w:ascii="Courier New" w:hAnsi="Courier New"/>
    </w:rPr>
  </w:style>
  <w:style w:type="paragraph" w:customStyle="1" w:styleId="NoteBullet">
    <w:name w:val="Note Bullet"/>
    <w:basedOn w:val="Note"/>
    <w:rsid w:val="009E2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6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2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63B"/>
    <w:rPr>
      <w:b/>
      <w:smallCaps/>
    </w:rPr>
  </w:style>
  <w:style w:type="paragraph" w:customStyle="1" w:styleId="TableListNumber">
    <w:name w:val="Table List Number"/>
    <w:basedOn w:val="ListNumber"/>
    <w:rsid w:val="009E2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63B"/>
    <w:pPr>
      <w:numPr>
        <w:numId w:val="9"/>
      </w:numPr>
    </w:pPr>
  </w:style>
  <w:style w:type="paragraph" w:customStyle="1" w:styleId="ListAlpha2">
    <w:name w:val="List Alpha 2"/>
    <w:basedOn w:val="List2"/>
    <w:rsid w:val="009E263B"/>
    <w:pPr>
      <w:numPr>
        <w:numId w:val="8"/>
      </w:numPr>
    </w:pPr>
  </w:style>
  <w:style w:type="paragraph" w:styleId="List2">
    <w:name w:val="List 2"/>
    <w:basedOn w:val="BodyText"/>
    <w:rsid w:val="009E2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6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6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263B"/>
    <w:pPr>
      <w:numPr>
        <w:numId w:val="4"/>
      </w:numPr>
    </w:pPr>
  </w:style>
  <w:style w:type="paragraph" w:styleId="ListContinue2">
    <w:name w:val="List Continue 2"/>
    <w:basedOn w:val="List2"/>
    <w:rsid w:val="009E263B"/>
    <w:pPr>
      <w:ind w:firstLine="0"/>
    </w:pPr>
  </w:style>
  <w:style w:type="paragraph" w:styleId="ListContinue3">
    <w:name w:val="List Continue 3"/>
    <w:basedOn w:val="List3"/>
    <w:rsid w:val="009E263B"/>
    <w:pPr>
      <w:ind w:left="1021" w:firstLine="0"/>
    </w:pPr>
  </w:style>
  <w:style w:type="paragraph" w:styleId="ListContinue4">
    <w:name w:val="List Continue 4"/>
    <w:basedOn w:val="List4"/>
    <w:rsid w:val="009E263B"/>
    <w:pPr>
      <w:ind w:firstLine="0"/>
    </w:pPr>
  </w:style>
  <w:style w:type="paragraph" w:styleId="ListContinue5">
    <w:name w:val="List Continue 5"/>
    <w:basedOn w:val="List5"/>
    <w:rsid w:val="009E263B"/>
    <w:pPr>
      <w:ind w:firstLine="0"/>
    </w:pPr>
  </w:style>
  <w:style w:type="paragraph" w:styleId="ListNumber3">
    <w:name w:val="List Number 3"/>
    <w:basedOn w:val="List3"/>
    <w:rsid w:val="009E263B"/>
    <w:pPr>
      <w:numPr>
        <w:numId w:val="5"/>
      </w:numPr>
    </w:pPr>
  </w:style>
  <w:style w:type="paragraph" w:styleId="ListNumber4">
    <w:name w:val="List Number 4"/>
    <w:basedOn w:val="List4"/>
    <w:rsid w:val="009E263B"/>
    <w:pPr>
      <w:numPr>
        <w:numId w:val="6"/>
      </w:numPr>
    </w:pPr>
  </w:style>
  <w:style w:type="paragraph" w:styleId="ListNumber5">
    <w:name w:val="List Number 5"/>
    <w:basedOn w:val="List5"/>
    <w:rsid w:val="009E263B"/>
    <w:pPr>
      <w:numPr>
        <w:numId w:val="7"/>
      </w:numPr>
    </w:pPr>
  </w:style>
  <w:style w:type="paragraph" w:styleId="BlockText">
    <w:name w:val="Block Text"/>
    <w:basedOn w:val="Normal"/>
    <w:rsid w:val="009E2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63B"/>
    <w:rPr>
      <w:sz w:val="16"/>
      <w:vertAlign w:val="superscript"/>
    </w:rPr>
  </w:style>
  <w:style w:type="character" w:customStyle="1" w:styleId="Symbols">
    <w:name w:val="Symbols"/>
    <w:basedOn w:val="DefaultParagraphFont"/>
    <w:rsid w:val="009E263B"/>
    <w:rPr>
      <w:rFonts w:ascii="Symbol" w:hAnsi="Symbol"/>
    </w:rPr>
  </w:style>
  <w:style w:type="character" w:customStyle="1" w:styleId="MenuOptions">
    <w:name w:val="Menu Options"/>
    <w:basedOn w:val="DefaultParagraphFont"/>
    <w:rsid w:val="009E2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63B"/>
    <w:rPr>
      <w:b/>
    </w:rPr>
  </w:style>
  <w:style w:type="character" w:customStyle="1" w:styleId="Underlined">
    <w:name w:val="Underlined"/>
    <w:basedOn w:val="DefaultParagraphFont"/>
    <w:rsid w:val="009E263B"/>
    <w:rPr>
      <w:u w:val="single"/>
    </w:rPr>
  </w:style>
  <w:style w:type="paragraph" w:customStyle="1" w:styleId="TableBodyTextRight">
    <w:name w:val="Table Body Text Right"/>
    <w:basedOn w:val="TableBodyText"/>
    <w:rsid w:val="009E2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63B"/>
    <w:rPr>
      <w:sz w:val="18"/>
    </w:rPr>
  </w:style>
  <w:style w:type="paragraph" w:customStyle="1" w:styleId="BodySmallRight">
    <w:name w:val="Body Small Right"/>
    <w:basedOn w:val="BodyTextRight"/>
    <w:rsid w:val="009E263B"/>
    <w:rPr>
      <w:sz w:val="18"/>
      <w:szCs w:val="18"/>
    </w:rPr>
  </w:style>
  <w:style w:type="paragraph" w:customStyle="1" w:styleId="MarginEdition">
    <w:name w:val="Margin Edition"/>
    <w:basedOn w:val="MarginNote"/>
    <w:rsid w:val="009E2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63B"/>
    <w:rPr>
      <w:sz w:val="2"/>
      <w:szCs w:val="2"/>
    </w:rPr>
  </w:style>
  <w:style w:type="character" w:customStyle="1" w:styleId="Small">
    <w:name w:val="Small"/>
    <w:basedOn w:val="DefaultParagraphFont"/>
    <w:rsid w:val="009E263B"/>
    <w:rPr>
      <w:sz w:val="16"/>
    </w:rPr>
  </w:style>
  <w:style w:type="paragraph" w:customStyle="1" w:styleId="WideTable">
    <w:name w:val="Wide Table"/>
    <w:basedOn w:val="Normal"/>
    <w:rsid w:val="009E2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63B"/>
  </w:style>
  <w:style w:type="paragraph" w:styleId="Quote">
    <w:name w:val="Quote"/>
    <w:basedOn w:val="Heading1"/>
    <w:link w:val="QuoteChar"/>
    <w:qFormat/>
    <w:rsid w:val="009E2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63B"/>
    <w:pPr>
      <w:pageBreakBefore/>
    </w:pPr>
  </w:style>
  <w:style w:type="paragraph" w:customStyle="1" w:styleId="Border">
    <w:name w:val="Border"/>
    <w:basedOn w:val="Normal"/>
    <w:qFormat/>
    <w:rsid w:val="009E2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63B"/>
    <w:rPr>
      <w:u w:val="single"/>
    </w:rPr>
  </w:style>
  <w:style w:type="character" w:customStyle="1" w:styleId="BoldandItalics">
    <w:name w:val="Bold and Italics"/>
    <w:qFormat/>
    <w:rsid w:val="009E263B"/>
    <w:rPr>
      <w:b/>
      <w:i/>
      <w:u w:val="none"/>
    </w:rPr>
  </w:style>
  <w:style w:type="paragraph" w:styleId="BalloonText">
    <w:name w:val="Balloon Text"/>
    <w:basedOn w:val="Normal"/>
    <w:link w:val="BalloonTextChar"/>
    <w:rsid w:val="009E2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63B"/>
    <w:pPr>
      <w:spacing w:before="0" w:after="0"/>
    </w:pPr>
  </w:style>
  <w:style w:type="paragraph" w:customStyle="1" w:styleId="BodyTextBold">
    <w:name w:val="Body Text Bold"/>
    <w:basedOn w:val="BodyText"/>
    <w:qFormat/>
    <w:rsid w:val="009E263B"/>
    <w:rPr>
      <w:b/>
    </w:rPr>
  </w:style>
  <w:style w:type="character" w:styleId="Hyperlink">
    <w:name w:val="Hyperlink"/>
    <w:basedOn w:val="DefaultParagraphFont"/>
    <w:uiPriority w:val="99"/>
    <w:unhideWhenUsed/>
    <w:rsid w:val="00884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2681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MSS017023 Establish collaborative business arrangements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2022-12-16T03:27:00Z</dcterms:created>
  <dcterms:modified xsi:type="dcterms:W3CDTF">2022-12-16T03:27:00Z</dcterms:modified>
</cp:coreProperties>
</file>