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F4258" w:rsidP="000F425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MSS017020 Lead sustainability strategy deployment</w:t>
      </w:r>
      <w:r>
        <w:fldChar w:fldCharType="end"/>
      </w:r>
    </w:p>
    <w:p w:rsidR="000F4258" w:rsidP="000F4258">
      <w:pPr>
        <w:pStyle w:val="Version"/>
        <w:sectPr w:rsidSect="00D1771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1771B" w:rsidP="00D1771B">
      <w:pPr>
        <w:pStyle w:val="SuperHeading"/>
      </w:pPr>
      <w:r w:rsidRPr="00D1771B">
        <w:t>Assessment Requirements for MSS017020 Lead sustainability strategy deployment</w:t>
      </w:r>
    </w:p>
    <w:p w:rsidR="00000000" w:rsidRPr="00D1771B" w:rsidP="00D1771B">
      <w:pPr>
        <w:pStyle w:val="Heading1"/>
      </w:pPr>
      <w:bookmarkStart w:id="1" w:name="O_1261129"/>
      <w:bookmarkEnd w:id="1"/>
      <w:r w:rsidRPr="00D1771B">
        <w:t>Modification History</w:t>
      </w:r>
    </w:p>
    <w:p w:rsidR="00000000" w:rsidRPr="00D1771B" w:rsidP="000F4258">
      <w:pPr>
        <w:pStyle w:val="BodyText"/>
      </w:pPr>
      <w:r w:rsidRPr="00D1771B">
        <w:t>Release 1. Unit code ch</w:t>
      </w:r>
      <w:r w:rsidRPr="00D1771B">
        <w:t>anged. Application changed. Elements changed. Performance Criteria changed. Foundation Skills populated. Assessment Requirements changed. Workplace outcome changed. Supersedes and is not equivalent to MSS017012 Lead sustainable strategy deployment.</w:t>
      </w:r>
    </w:p>
    <w:p w:rsidR="00000000" w:rsidRPr="00D1771B" w:rsidP="00D1771B">
      <w:pPr>
        <w:pStyle w:val="Heading1"/>
      </w:pPr>
      <w:bookmarkStart w:id="2" w:name="O_1261130"/>
      <w:bookmarkEnd w:id="2"/>
      <w:r w:rsidRPr="00D1771B">
        <w:t>Performance Evidence</w:t>
      </w:r>
    </w:p>
    <w:p w:rsidR="00000000" w:rsidRPr="00D1771B" w:rsidP="000F4258">
      <w:pPr>
        <w:pStyle w:val="BodyText"/>
      </w:pPr>
      <w:r w:rsidRPr="00D1771B">
        <w:t>There must be evidence the candidate has completed the tasks outlined in the elements and performance criteria of this unit, and demonstrated the ability to:</w:t>
      </w:r>
    </w:p>
    <w:p w:rsidR="00000000" w:rsidRPr="00D1771B" w:rsidP="00D1771B">
      <w:pPr>
        <w:pStyle w:val="ListBullet"/>
      </w:pPr>
      <w:r w:rsidRPr="00D1771B">
        <w:t>lead the development and deployment of sustainability strategy f</w:t>
      </w:r>
      <w:r w:rsidRPr="00D1771B">
        <w:t xml:space="preserve">or an organisation, section of organisation or part of value chain where strategy deployment incorporates at least 3 sustainability improvement projects. </w:t>
      </w:r>
    </w:p>
    <w:p w:rsidR="00000000" w:rsidRPr="00D1771B" w:rsidP="00D1771B">
      <w:pPr>
        <w:pStyle w:val="AllowPageBreak"/>
      </w:pPr>
    </w:p>
    <w:p w:rsidR="00000000" w:rsidRPr="00D1771B" w:rsidP="00D1771B">
      <w:pPr>
        <w:pStyle w:val="Heading1"/>
      </w:pPr>
      <w:bookmarkStart w:id="3" w:name="O_1261131"/>
      <w:bookmarkEnd w:id="3"/>
      <w:r w:rsidRPr="00D1771B">
        <w:t>Knowledge Evidence</w:t>
      </w:r>
    </w:p>
    <w:p w:rsidR="00000000" w:rsidRPr="00D1771B" w:rsidP="000F4258">
      <w:pPr>
        <w:pStyle w:val="BodyText"/>
      </w:pPr>
      <w:r w:rsidRPr="00D1771B">
        <w:t>There must be evidence the candidate has knowledge of:</w:t>
      </w:r>
    </w:p>
    <w:p w:rsidR="00000000" w:rsidRPr="00D1771B" w:rsidP="00D1771B">
      <w:pPr>
        <w:pStyle w:val="ListBullet"/>
      </w:pPr>
      <w:r w:rsidRPr="00D1771B">
        <w:t>sustain</w:t>
      </w:r>
      <w:r w:rsidRPr="00D1771B">
        <w:t>ability interactions and impacts related to processes in selected value chain</w:t>
      </w:r>
    </w:p>
    <w:p w:rsidR="00000000" w:rsidRPr="00D1771B" w:rsidP="00D1771B">
      <w:pPr>
        <w:pStyle w:val="ListBullet"/>
      </w:pPr>
      <w:r w:rsidRPr="00D1771B">
        <w:t>actual and potential sustainability issues relevant to the value chain</w:t>
      </w:r>
    </w:p>
    <w:p w:rsidR="00000000" w:rsidRPr="00D1771B" w:rsidP="00D1771B">
      <w:pPr>
        <w:pStyle w:val="ListBullet"/>
      </w:pPr>
      <w:r w:rsidRPr="00D1771B">
        <w:t>current and emerging approaches to quantifying and evaluating costs, benefits, impacts and risks in relatio</w:t>
      </w:r>
      <w:r w:rsidRPr="00D1771B">
        <w:t>n to sustainability including direct, indirect and intangible factors</w:t>
      </w:r>
    </w:p>
    <w:p w:rsidR="00000000" w:rsidRPr="00D1771B" w:rsidP="00D1771B">
      <w:pPr>
        <w:pStyle w:val="ListBullet"/>
      </w:pPr>
      <w:r w:rsidRPr="00D1771B">
        <w:t>principles of sustainability</w:t>
      </w:r>
    </w:p>
    <w:p w:rsidR="00000000" w:rsidRPr="00D1771B" w:rsidP="00D1771B">
      <w:pPr>
        <w:pStyle w:val="ListBullet"/>
      </w:pPr>
      <w:r w:rsidRPr="00D1771B">
        <w:t xml:space="preserve">approaches to cascading strategy deployment </w:t>
      </w:r>
    </w:p>
    <w:p w:rsidR="00000000" w:rsidRPr="00D1771B" w:rsidP="00D1771B">
      <w:pPr>
        <w:pStyle w:val="ListBullet"/>
      </w:pPr>
      <w:r w:rsidRPr="00D1771B">
        <w:t>current and emerging approaches to improving sustainability, including:</w:t>
      </w:r>
    </w:p>
    <w:p w:rsidR="00000000" w:rsidRPr="00D1771B" w:rsidP="00D1771B">
      <w:pPr>
        <w:pStyle w:val="ListBullet2"/>
      </w:pPr>
      <w:r w:rsidRPr="00D1771B">
        <w:t>purpose-based and circular economy busi</w:t>
      </w:r>
      <w:r w:rsidRPr="00D1771B">
        <w:t>ness models</w:t>
      </w:r>
    </w:p>
    <w:p w:rsidR="00000000" w:rsidRPr="00D1771B" w:rsidP="00D1771B">
      <w:pPr>
        <w:pStyle w:val="ListBullet2"/>
      </w:pPr>
      <w:r w:rsidRPr="00D1771B">
        <w:t>extended product lifecycle and retaining and/or managing residual resources </w:t>
      </w:r>
    </w:p>
    <w:p w:rsidR="00000000" w:rsidRPr="00D1771B" w:rsidP="00D1771B">
      <w:pPr>
        <w:pStyle w:val="ListBullet2"/>
      </w:pPr>
      <w:r w:rsidRPr="00D1771B">
        <w:t xml:space="preserve">design thinking as applied to problem-solving and innovation for sustainability </w:t>
      </w:r>
    </w:p>
    <w:p w:rsidR="00000000" w:rsidRPr="00D1771B" w:rsidP="00D1771B">
      <w:pPr>
        <w:pStyle w:val="ListBullet2"/>
      </w:pPr>
      <w:r w:rsidRPr="00D1771B">
        <w:t>human rights and environmental impact of</w:t>
      </w:r>
      <w:r w:rsidRPr="00D1771B">
        <w:rPr>
          <w:rStyle w:val="SpecialBold"/>
        </w:rPr>
        <w:t xml:space="preserve"> </w:t>
      </w:r>
      <w:r w:rsidRPr="00D1771B">
        <w:t>supply chain decisions</w:t>
      </w:r>
      <w:r w:rsidRPr="00D1771B">
        <w:rPr>
          <w:rStyle w:val="SpecialBold"/>
        </w:rPr>
        <w:t xml:space="preserve"> </w:t>
      </w:r>
    </w:p>
    <w:p w:rsidR="00000000" w:rsidRPr="00D1771B" w:rsidP="00D1771B">
      <w:pPr>
        <w:pStyle w:val="ListBullet2"/>
      </w:pPr>
      <w:r w:rsidRPr="00D1771B">
        <w:t>digitalisation and dematerialisation</w:t>
      </w:r>
    </w:p>
    <w:p w:rsidR="00000000" w:rsidRPr="00D1771B" w:rsidP="00D1771B">
      <w:pPr>
        <w:pStyle w:val="ListBullet2"/>
      </w:pPr>
      <w:r w:rsidRPr="00D1771B">
        <w:t>efficient use of materials, resources and/or energy</w:t>
      </w:r>
      <w:r w:rsidRPr="00D1771B">
        <w:rPr>
          <w:rStyle w:val="SpecialBold"/>
        </w:rPr>
        <w:t>   </w:t>
      </w:r>
    </w:p>
    <w:p w:rsidR="00000000" w:rsidRPr="00D1771B" w:rsidP="00D1771B">
      <w:pPr>
        <w:pStyle w:val="ListBullet2"/>
      </w:pPr>
      <w:r w:rsidRPr="00D1771B">
        <w:t>reduction of pollution and/or greenhouse gas emissions</w:t>
      </w:r>
      <w:r w:rsidRPr="00D1771B">
        <w:rPr>
          <w:rStyle w:val="SpecialBold"/>
        </w:rPr>
        <w:t>  </w:t>
      </w:r>
    </w:p>
    <w:p w:rsidR="00000000" w:rsidRPr="00D1771B" w:rsidP="00D1771B">
      <w:pPr>
        <w:pStyle w:val="ListBullet2"/>
      </w:pPr>
      <w:r w:rsidRPr="00D1771B">
        <w:t>safety, health and wellbeing of employees</w:t>
      </w:r>
    </w:p>
    <w:p w:rsidR="00000000" w:rsidRPr="00D1771B" w:rsidP="00D1771B">
      <w:pPr>
        <w:pStyle w:val="ListBullet2"/>
      </w:pPr>
      <w:r w:rsidRPr="00D1771B">
        <w:t>environmental monitoring and remediation </w:t>
      </w:r>
    </w:p>
    <w:p w:rsidR="00000000" w:rsidRPr="00D1771B" w:rsidP="00D1771B">
      <w:pPr>
        <w:pStyle w:val="ListBullet"/>
      </w:pPr>
      <w:r w:rsidRPr="00D1771B">
        <w:t>techniques to facilita</w:t>
      </w:r>
      <w:r w:rsidRPr="00D1771B">
        <w:t>te agreement across levels and areas of an organisation  </w:t>
      </w:r>
    </w:p>
    <w:p w:rsidR="00000000" w:rsidRPr="00D1771B" w:rsidP="00D1771B">
      <w:pPr>
        <w:pStyle w:val="ListBullet"/>
      </w:pPr>
      <w:r w:rsidRPr="00D1771B">
        <w:t>types of structural, personal and cultural barriers that may affect communication and engagement   </w:t>
      </w:r>
    </w:p>
    <w:p w:rsidR="00000000" w:rsidRPr="00D1771B" w:rsidP="00D1771B">
      <w:pPr>
        <w:pStyle w:val="ListBullet"/>
      </w:pPr>
      <w:r w:rsidRPr="00D1771B">
        <w:t xml:space="preserve">techniques to address barriers and support communication and engagement </w:t>
      </w:r>
    </w:p>
    <w:p w:rsidR="00000000" w:rsidRPr="00D1771B" w:rsidP="00D1771B">
      <w:pPr>
        <w:pStyle w:val="ListBullet"/>
      </w:pPr>
      <w:r w:rsidRPr="00D1771B">
        <w:t>development of vision, mi</w:t>
      </w:r>
      <w:r w:rsidRPr="00D1771B">
        <w:t>ssion and strategy</w:t>
      </w:r>
    </w:p>
    <w:p w:rsidR="00000000" w:rsidRPr="00D1771B" w:rsidP="00D1771B">
      <w:pPr>
        <w:pStyle w:val="ListBullet"/>
      </w:pPr>
      <w:r w:rsidRPr="00D1771B">
        <w:t>root cause analysis</w:t>
      </w:r>
    </w:p>
    <w:p w:rsidR="00000000" w:rsidRPr="00D1771B" w:rsidP="00D1771B">
      <w:pPr>
        <w:pStyle w:val="ListBullet"/>
      </w:pPr>
      <w:r w:rsidRPr="00D1771B">
        <w:t>hierarchy of hazard control and its application to sustainability hazards</w:t>
      </w:r>
    </w:p>
    <w:p w:rsidR="00000000" w:rsidRPr="00D1771B" w:rsidP="00D1771B">
      <w:pPr>
        <w:pStyle w:val="ListBullet"/>
      </w:pPr>
      <w:r w:rsidRPr="00D1771B">
        <w:t>risk analysis and risk management and its application to sustainability risks</w:t>
      </w:r>
    </w:p>
    <w:p w:rsidR="00000000" w:rsidRPr="00D1771B" w:rsidP="00D1771B">
      <w:pPr>
        <w:pStyle w:val="ListBullet"/>
      </w:pPr>
      <w:r w:rsidRPr="00D1771B">
        <w:t>project management principles and the management of multiple related projects</w:t>
      </w:r>
    </w:p>
    <w:p w:rsidR="00000000" w:rsidRPr="00D1771B" w:rsidP="00D1771B">
      <w:pPr>
        <w:pStyle w:val="ListBullet"/>
      </w:pPr>
      <w:r w:rsidRPr="00D1771B">
        <w:t>systems thinking as applied to identifying, evaluating and prioritising sustainability improvements</w:t>
      </w:r>
    </w:p>
    <w:p w:rsidR="00000000" w:rsidRPr="00D1771B" w:rsidP="00D1771B">
      <w:pPr>
        <w:pStyle w:val="ListBullet"/>
      </w:pPr>
      <w:r w:rsidRPr="00D1771B">
        <w:t xml:space="preserve">current and emerging approaches to identifying and analysing factors that may </w:t>
      </w:r>
      <w:r w:rsidRPr="00D1771B">
        <w:t xml:space="preserve">affect sustainability priorities </w:t>
      </w:r>
    </w:p>
    <w:p w:rsidR="00000000" w:rsidRPr="00D1771B" w:rsidP="00D1771B">
      <w:pPr>
        <w:pStyle w:val="ListBullet"/>
      </w:pPr>
      <w:r w:rsidRPr="00D1771B">
        <w:t>sustainability-related regulatory and reporting requirements relevant to the industry</w:t>
      </w:r>
    </w:p>
    <w:p w:rsidR="00000000" w:rsidRPr="00D1771B" w:rsidP="00D1771B">
      <w:pPr>
        <w:pStyle w:val="ListBullet"/>
      </w:pPr>
      <w:r w:rsidRPr="00D1771B">
        <w:t>sustainability-related voluntary standards, codes, reporting frameworks, certification and co-regulatory arrangements relevant to the in</w:t>
      </w:r>
      <w:r w:rsidRPr="00D1771B">
        <w:t>dustry</w:t>
      </w:r>
    </w:p>
    <w:p w:rsidR="000F4258" w:rsidP="00D1771B">
      <w:pPr>
        <w:pStyle w:val="ListBullet"/>
      </w:pPr>
      <w:r w:rsidRPr="00D1771B">
        <w:t>team planning and problem-solving processes.</w:t>
      </w:r>
    </w:p>
    <w:p w:rsidR="000F4258" w:rsidP="00D1771B">
      <w:pPr>
        <w:pStyle w:val="ListBullet"/>
      </w:pPr>
    </w:p>
    <w:p w:rsidR="00000000" w:rsidRPr="00D1771B" w:rsidP="00D1771B">
      <w:pPr>
        <w:pStyle w:val="Heading1"/>
      </w:pPr>
      <w:bookmarkStart w:id="4" w:name="O_1261132"/>
      <w:bookmarkEnd w:id="4"/>
      <w:r w:rsidRPr="00D1771B">
        <w:t>Assessment Conditions</w:t>
      </w:r>
    </w:p>
    <w:p w:rsidR="00000000" w:rsidRPr="00D1771B" w:rsidP="000F4258">
      <w:pPr>
        <w:pStyle w:val="BodyText"/>
      </w:pPr>
      <w:r w:rsidRPr="00D1771B">
        <w:t>Skills must have been demonstrated in the workplace or in a simulated environment that reflects workplace conditions and contingencies. The following conditions m</w:t>
      </w:r>
      <w:r w:rsidRPr="00D1771B">
        <w:t>ust be met for this unit:</w:t>
      </w:r>
    </w:p>
    <w:p w:rsidR="00000000" w:rsidRPr="00D1771B" w:rsidP="00D1771B">
      <w:pPr>
        <w:pStyle w:val="ListBullet"/>
      </w:pPr>
      <w:r w:rsidRPr="00D1771B">
        <w:t>use of suitable facilities, equipment and resources, including:</w:t>
      </w:r>
    </w:p>
    <w:p w:rsidR="00000000" w:rsidRPr="00D1771B" w:rsidP="00D1771B">
      <w:pPr>
        <w:pStyle w:val="ListBullet2"/>
      </w:pPr>
      <w:r w:rsidRPr="00D1771B">
        <w:t>organisation’s strategic plan/decisions</w:t>
      </w:r>
    </w:p>
    <w:p w:rsidR="00000000" w:rsidRPr="00D1771B" w:rsidP="00D1771B">
      <w:pPr>
        <w:pStyle w:val="ListBullet"/>
      </w:pPr>
      <w:r w:rsidRPr="00D1771B">
        <w:t>modelling of industry operating conditions.</w:t>
      </w:r>
    </w:p>
    <w:p w:rsidR="00000000" w:rsidRPr="00D1771B" w:rsidP="000F4258">
      <w:pPr>
        <w:pStyle w:val="BodyText"/>
      </w:pPr>
      <w:r w:rsidRPr="00D1771B">
        <w:t>Assessors must satisfy the NVR/AQTF mandatory competency requirements for asses</w:t>
      </w:r>
      <w:r w:rsidRPr="00D1771B">
        <w:t>sors.</w:t>
      </w:r>
    </w:p>
    <w:p w:rsidR="00000000" w:rsidRPr="00D1771B" w:rsidP="00D1771B">
      <w:pPr>
        <w:pStyle w:val="Heading1"/>
      </w:pPr>
      <w:bookmarkStart w:id="5" w:name="O_1261135"/>
      <w:bookmarkEnd w:id="5"/>
      <w:r w:rsidRPr="00D1771B">
        <w:t>Links</w:t>
      </w:r>
    </w:p>
    <w:p w:rsidR="00000000" w:rsidRPr="00D1771B" w:rsidP="000F4258">
      <w:pPr>
        <w:pStyle w:val="BodyText"/>
      </w:pPr>
      <w:r w:rsidRPr="00D1771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"https://vetnet.gov.au/Pages/TrainingDocs.aspx?q=5b04f318-804f-4dc0-9463-c3fb9a3fe998" </w:instrText>
      </w:r>
      <w:r>
        <w:fldChar w:fldCharType="separate"/>
      </w:r>
      <w:r w:rsidRPr="00053702">
        <w:rPr>
          <w:rStyle w:val="Hyperlink"/>
        </w:rPr>
        <w:t>https://vetnet.gov.au/Pages/TrainingDocs.aspx?q=5b04f318-804f-4dc0-9463-c3fb9a3fe998</w:t>
      </w:r>
      <w:r>
        <w:fldChar w:fldCharType="end"/>
      </w:r>
    </w:p>
    <w:p w:rsidR="00000000" w:rsidRPr="00D1771B" w:rsidP="00D1771B"/>
    <w:sectPr w:rsidSect="00D1771B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771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771B" w:rsidRPr="000F4258" w:rsidP="000F425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771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4258" w:rsidP="00D1771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0F4258" w:rsidP="00D1771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0F4258" w:rsidP="00D1771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771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425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1771B" w:rsidRPr="000F4258" w:rsidP="000F425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771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4258" w:rsidRPr="002D2AF8" w:rsidP="00D1771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MSS017020 Lead sustainability strategy deployment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16 December 2022</w:t>
    </w:r>
    <w:r>
      <w:fldChar w:fldCharType="end"/>
    </w:r>
  </w:p>
  <w:p w:rsidR="000F4258" w:rsidP="00D1771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2C645E9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13D4F0B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2A00878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1771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1771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1771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1771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1771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1771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1771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1771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1771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1771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1771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1771B"/>
  </w:style>
  <w:style w:type="character" w:customStyle="1" w:styleId="Heading1Char">
    <w:name w:val="Heading 1 Char"/>
    <w:basedOn w:val="DefaultParagraphFont"/>
    <w:link w:val="Heading1"/>
    <w:rsid w:val="00D1771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1771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1771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1771B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1771B"/>
    <w:rPr>
      <w:b/>
      <w:spacing w:val="0"/>
    </w:rPr>
  </w:style>
  <w:style w:type="paragraph" w:styleId="ListBullet2">
    <w:name w:val="List Bullet 2"/>
    <w:basedOn w:val="List2"/>
    <w:rsid w:val="00D1771B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D1771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1771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1771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1771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1771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1771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1771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1771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1771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1771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1771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1771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1771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1771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1771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1771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1771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1771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1771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1771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1771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1771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1771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1771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1771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D1771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1771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1771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1771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1771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1771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1771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1771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1771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1771B"/>
    <w:rPr>
      <w:i/>
    </w:rPr>
  </w:style>
  <w:style w:type="paragraph" w:styleId="Caption">
    <w:name w:val="caption"/>
    <w:basedOn w:val="BodyText"/>
    <w:next w:val="Normal"/>
    <w:qFormat/>
    <w:rsid w:val="00D1771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1771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1771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1771B"/>
  </w:style>
  <w:style w:type="paragraph" w:styleId="TableofFigures">
    <w:name w:val="table of figures"/>
    <w:basedOn w:val="Normal"/>
    <w:next w:val="Normal"/>
    <w:semiHidden/>
    <w:rsid w:val="00D1771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1771B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D1771B"/>
    <w:rPr>
      <w:rFonts w:ascii="Wingdings" w:hAnsi="Wingdings"/>
    </w:rPr>
  </w:style>
  <w:style w:type="paragraph" w:customStyle="1" w:styleId="TableHeading">
    <w:name w:val="Table Heading"/>
    <w:basedOn w:val="HeadingBase"/>
    <w:rsid w:val="00D1771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1771B"/>
    <w:rPr>
      <w:color w:val="0033CC"/>
      <w:u w:val="none"/>
    </w:rPr>
  </w:style>
  <w:style w:type="paragraph" w:customStyle="1" w:styleId="BodyTextRight">
    <w:name w:val="Body Text Right"/>
    <w:basedOn w:val="BodyText"/>
    <w:rsid w:val="00D1771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1771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1771B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1771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1771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1771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1771B"/>
    <w:rPr>
      <w:sz w:val="32"/>
    </w:rPr>
  </w:style>
  <w:style w:type="paragraph" w:customStyle="1" w:styleId="HeadingProcedure">
    <w:name w:val="Heading Procedure"/>
    <w:basedOn w:val="HeadingBase"/>
    <w:next w:val="Normal"/>
    <w:rsid w:val="00D1771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1771B"/>
    <w:pPr>
      <w:spacing w:before="60" w:after="60"/>
    </w:pPr>
  </w:style>
  <w:style w:type="paragraph" w:styleId="ListContinue">
    <w:name w:val="List Continue"/>
    <w:basedOn w:val="List"/>
    <w:rsid w:val="00D1771B"/>
    <w:pPr>
      <w:ind w:firstLine="0"/>
    </w:pPr>
  </w:style>
  <w:style w:type="paragraph" w:customStyle="1" w:styleId="ListNote">
    <w:name w:val="List Note"/>
    <w:basedOn w:val="List"/>
    <w:rsid w:val="00D1771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1771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1771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1771B"/>
    <w:rPr>
      <w:rFonts w:ascii="Courier New" w:hAnsi="Courier New"/>
    </w:rPr>
  </w:style>
  <w:style w:type="paragraph" w:customStyle="1" w:styleId="NoteBullet">
    <w:name w:val="Note Bullet"/>
    <w:basedOn w:val="Note"/>
    <w:rsid w:val="00D1771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1771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1771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1771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1771B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D1771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1771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1771B"/>
    <w:rPr>
      <w:b/>
      <w:smallCaps/>
    </w:rPr>
  </w:style>
  <w:style w:type="paragraph" w:customStyle="1" w:styleId="TableListNumber">
    <w:name w:val="Table List Number"/>
    <w:basedOn w:val="ListNumber"/>
    <w:rsid w:val="00D1771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1771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1771B"/>
    <w:pPr>
      <w:numPr>
        <w:numId w:val="9"/>
      </w:numPr>
    </w:pPr>
  </w:style>
  <w:style w:type="paragraph" w:customStyle="1" w:styleId="ListAlpha2">
    <w:name w:val="List Alpha 2"/>
    <w:basedOn w:val="List2"/>
    <w:rsid w:val="00D1771B"/>
    <w:pPr>
      <w:numPr>
        <w:numId w:val="8"/>
      </w:numPr>
    </w:pPr>
  </w:style>
  <w:style w:type="paragraph" w:styleId="List2">
    <w:name w:val="List 2"/>
    <w:basedOn w:val="BodyText"/>
    <w:rsid w:val="00D1771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1771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1771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1771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1771B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1771B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D1771B"/>
    <w:pPr>
      <w:numPr>
        <w:numId w:val="4"/>
      </w:numPr>
    </w:pPr>
  </w:style>
  <w:style w:type="paragraph" w:styleId="ListContinue2">
    <w:name w:val="List Continue 2"/>
    <w:basedOn w:val="List2"/>
    <w:rsid w:val="00D1771B"/>
    <w:pPr>
      <w:ind w:firstLine="0"/>
    </w:pPr>
  </w:style>
  <w:style w:type="paragraph" w:styleId="ListContinue3">
    <w:name w:val="List Continue 3"/>
    <w:basedOn w:val="List3"/>
    <w:rsid w:val="00D1771B"/>
    <w:pPr>
      <w:ind w:left="1021" w:firstLine="0"/>
    </w:pPr>
  </w:style>
  <w:style w:type="paragraph" w:styleId="ListContinue4">
    <w:name w:val="List Continue 4"/>
    <w:basedOn w:val="List4"/>
    <w:rsid w:val="00D1771B"/>
    <w:pPr>
      <w:ind w:firstLine="0"/>
    </w:pPr>
  </w:style>
  <w:style w:type="paragraph" w:styleId="ListContinue5">
    <w:name w:val="List Continue 5"/>
    <w:basedOn w:val="List5"/>
    <w:rsid w:val="00D1771B"/>
    <w:pPr>
      <w:ind w:firstLine="0"/>
    </w:pPr>
  </w:style>
  <w:style w:type="paragraph" w:styleId="ListNumber3">
    <w:name w:val="List Number 3"/>
    <w:basedOn w:val="List3"/>
    <w:rsid w:val="00D1771B"/>
    <w:pPr>
      <w:numPr>
        <w:numId w:val="5"/>
      </w:numPr>
    </w:pPr>
  </w:style>
  <w:style w:type="paragraph" w:styleId="ListNumber4">
    <w:name w:val="List Number 4"/>
    <w:basedOn w:val="List4"/>
    <w:rsid w:val="00D1771B"/>
    <w:pPr>
      <w:numPr>
        <w:numId w:val="6"/>
      </w:numPr>
    </w:pPr>
  </w:style>
  <w:style w:type="paragraph" w:styleId="ListNumber5">
    <w:name w:val="List Number 5"/>
    <w:basedOn w:val="List5"/>
    <w:rsid w:val="00D1771B"/>
    <w:pPr>
      <w:numPr>
        <w:numId w:val="7"/>
      </w:numPr>
    </w:pPr>
  </w:style>
  <w:style w:type="paragraph" w:styleId="BlockText">
    <w:name w:val="Block Text"/>
    <w:basedOn w:val="Normal"/>
    <w:rsid w:val="00D1771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1771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1771B"/>
    <w:rPr>
      <w:sz w:val="16"/>
      <w:vertAlign w:val="superscript"/>
    </w:rPr>
  </w:style>
  <w:style w:type="character" w:customStyle="1" w:styleId="Symbols">
    <w:name w:val="Symbols"/>
    <w:basedOn w:val="DefaultParagraphFont"/>
    <w:rsid w:val="00D1771B"/>
    <w:rPr>
      <w:rFonts w:ascii="Symbol" w:hAnsi="Symbol"/>
    </w:rPr>
  </w:style>
  <w:style w:type="character" w:customStyle="1" w:styleId="MenuOptions">
    <w:name w:val="Menu Options"/>
    <w:basedOn w:val="DefaultParagraphFont"/>
    <w:rsid w:val="00D1771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1771B"/>
    <w:rPr>
      <w:b/>
    </w:rPr>
  </w:style>
  <w:style w:type="character" w:customStyle="1" w:styleId="Underlined">
    <w:name w:val="Underlined"/>
    <w:basedOn w:val="DefaultParagraphFont"/>
    <w:rsid w:val="00D1771B"/>
    <w:rPr>
      <w:u w:val="single"/>
    </w:rPr>
  </w:style>
  <w:style w:type="paragraph" w:customStyle="1" w:styleId="TableBodyTextRight">
    <w:name w:val="Table Body Text Right"/>
    <w:basedOn w:val="TableBodyText"/>
    <w:rsid w:val="00D1771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1771B"/>
    <w:rPr>
      <w:sz w:val="18"/>
    </w:rPr>
  </w:style>
  <w:style w:type="paragraph" w:customStyle="1" w:styleId="BodySmallRight">
    <w:name w:val="Body Small Right"/>
    <w:basedOn w:val="BodyTextRight"/>
    <w:rsid w:val="00D1771B"/>
    <w:rPr>
      <w:sz w:val="18"/>
      <w:szCs w:val="18"/>
    </w:rPr>
  </w:style>
  <w:style w:type="paragraph" w:customStyle="1" w:styleId="MarginEdition">
    <w:name w:val="Margin Edition"/>
    <w:basedOn w:val="MarginNote"/>
    <w:rsid w:val="00D1771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1771B"/>
    <w:rPr>
      <w:sz w:val="2"/>
      <w:szCs w:val="2"/>
    </w:rPr>
  </w:style>
  <w:style w:type="character" w:customStyle="1" w:styleId="Small">
    <w:name w:val="Small"/>
    <w:basedOn w:val="DefaultParagraphFont"/>
    <w:rsid w:val="00D1771B"/>
    <w:rPr>
      <w:sz w:val="16"/>
    </w:rPr>
  </w:style>
  <w:style w:type="paragraph" w:customStyle="1" w:styleId="WideTable">
    <w:name w:val="Wide Table"/>
    <w:basedOn w:val="Normal"/>
    <w:rsid w:val="00D1771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1771B"/>
  </w:style>
  <w:style w:type="paragraph" w:styleId="Quote">
    <w:name w:val="Quote"/>
    <w:basedOn w:val="Heading1"/>
    <w:link w:val="QuoteChar"/>
    <w:qFormat/>
    <w:rsid w:val="00D1771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1771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1771B"/>
    <w:pPr>
      <w:pageBreakBefore/>
    </w:pPr>
  </w:style>
  <w:style w:type="paragraph" w:customStyle="1" w:styleId="Border">
    <w:name w:val="Border"/>
    <w:basedOn w:val="Normal"/>
    <w:qFormat/>
    <w:rsid w:val="00D1771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1771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1771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1771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1771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1771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1771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1771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1771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1771B"/>
    <w:rPr>
      <w:u w:val="single"/>
    </w:rPr>
  </w:style>
  <w:style w:type="character" w:customStyle="1" w:styleId="BoldandItalics">
    <w:name w:val="Bold and Italics"/>
    <w:qFormat/>
    <w:rsid w:val="00D1771B"/>
    <w:rPr>
      <w:b/>
      <w:i/>
      <w:u w:val="none"/>
    </w:rPr>
  </w:style>
  <w:style w:type="paragraph" w:styleId="BalloonText">
    <w:name w:val="Balloon Text"/>
    <w:basedOn w:val="Normal"/>
    <w:link w:val="BalloonTextChar"/>
    <w:rsid w:val="00D1771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1771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1771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1771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1771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1771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1771B"/>
    <w:pPr>
      <w:spacing w:before="0" w:after="0"/>
    </w:pPr>
  </w:style>
  <w:style w:type="paragraph" w:customStyle="1" w:styleId="BodyTextBold">
    <w:name w:val="Body Text Bold"/>
    <w:basedOn w:val="BodyText"/>
    <w:qFormat/>
    <w:rsid w:val="00D1771B"/>
    <w:rPr>
      <w:b/>
    </w:rPr>
  </w:style>
  <w:style w:type="character" w:styleId="Hyperlink">
    <w:name w:val="Hyperlink"/>
    <w:basedOn w:val="DefaultParagraphFont"/>
    <w:uiPriority w:val="99"/>
    <w:unhideWhenUsed/>
    <w:rsid w:val="000F425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446</Words>
  <Characters>3273</Characters>
  <Application>Microsoft Office Word</Application>
  <DocSecurity>0</DocSecurity>
  <Lines>71</Lines>
  <Paragraphs>53</Paragraphs>
  <ScaleCrop>false</ScaleCrop>
  <Company>Author-it Software Corporation Ltd.</Company>
  <LinksUpToDate>false</LinksUpToDate>
  <CharactersWithSpaces>3666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MSS017020 Lead sustainability strategy deployment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2022-12-16T03:26:00Z</dcterms:created>
  <dcterms:modified xsi:type="dcterms:W3CDTF">2022-12-16T03:26:00Z</dcterms:modified>
</cp:coreProperties>
</file>