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09B" w:rsidP="00AC6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MSS017015 Design for sustainability</w:t>
      </w:r>
      <w:r>
        <w:fldChar w:fldCharType="end"/>
      </w:r>
    </w:p>
    <w:p w:rsidR="00AC609B" w:rsidP="00AC609B">
      <w:pPr>
        <w:pStyle w:val="Version"/>
        <w:sectPr w:rsidSect="009C2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DF1" w:rsidP="009C2DF1">
      <w:pPr>
        <w:pStyle w:val="SuperHeading"/>
      </w:pPr>
      <w:r w:rsidRPr="009C2DF1">
        <w:t>MSS017015 Design for sustainability</w:t>
      </w:r>
    </w:p>
    <w:p w:rsidR="00000000" w:rsidRPr="009C2DF1" w:rsidP="009C2DF1">
      <w:pPr>
        <w:pStyle w:val="Heading1"/>
      </w:pPr>
      <w:bookmarkStart w:id="1" w:name="O_989825"/>
      <w:bookmarkEnd w:id="1"/>
      <w:r w:rsidRPr="009C2DF1">
        <w:t>Modification History</w:t>
      </w:r>
    </w:p>
    <w:p w:rsidR="00000000" w:rsidRPr="009C2DF1" w:rsidP="00AC609B">
      <w:pPr>
        <w:pStyle w:val="BodyText"/>
      </w:pPr>
      <w:r w:rsidRPr="009C2DF1">
        <w:t>Release 1. Updated unit code. Changes to elements and performance criteria. Range of conditions removed. Assessment requirements amended. Equivalent outcome.</w:t>
      </w:r>
    </w:p>
    <w:p w:rsidR="00000000" w:rsidRPr="009C2DF1" w:rsidP="009C2DF1">
      <w:pPr>
        <w:pStyle w:val="Heading1"/>
      </w:pPr>
      <w:bookmarkStart w:id="2" w:name="O_989826"/>
      <w:bookmarkEnd w:id="2"/>
      <w:r w:rsidRPr="009C2DF1">
        <w:t>Application</w:t>
      </w:r>
    </w:p>
    <w:p w:rsidR="00000000" w:rsidRPr="009C2DF1" w:rsidP="00AC609B">
      <w:pPr>
        <w:pStyle w:val="BodyText"/>
      </w:pPr>
      <w:r w:rsidRPr="009C2DF1">
        <w:t>This unit describes the skills and knowledge for</w:t>
      </w:r>
      <w:r w:rsidRPr="009C2DF1">
        <w:t xml:space="preserve"> the designing or redesigning of a product or service for sustainability. This unit will lead to the design specification for a sustainable or more sustainable product or service.</w:t>
      </w:r>
    </w:p>
    <w:p w:rsidR="00000000" w:rsidRPr="009C2DF1" w:rsidP="00AC609B">
      <w:pPr>
        <w:pStyle w:val="BodyText"/>
      </w:pPr>
      <w:r w:rsidRPr="009C2DF1">
        <w:t xml:space="preserve">This unit applies to a manager or senior technologist who has a significant </w:t>
      </w:r>
      <w:r w:rsidRPr="009C2DF1">
        <w:t>sustainability responsibility work role. Skills covered by this unit may be applied individually or in a team context.</w:t>
      </w:r>
    </w:p>
    <w:p w:rsidR="00000000" w:rsidRPr="009C2DF1" w:rsidP="00AC609B">
      <w:pPr>
        <w:pStyle w:val="BodyText"/>
      </w:pPr>
      <w:r w:rsidRPr="009C2DF1">
        <w:t>No licensing or certification requirements exist at the time of publication. Relevant legislation, industry standards and codes of practi</w:t>
      </w:r>
      <w:r w:rsidRPr="009C2DF1">
        <w:t>ce within Australia must be applied.</w:t>
      </w:r>
    </w:p>
    <w:p w:rsidR="00000000" w:rsidRPr="009C2DF1" w:rsidP="009C2DF1">
      <w:pPr>
        <w:pStyle w:val="Heading1"/>
      </w:pPr>
      <w:bookmarkStart w:id="3" w:name="O_989827"/>
      <w:bookmarkEnd w:id="3"/>
      <w:r w:rsidRPr="009C2DF1">
        <w:t>Pre-requisite Unit</w:t>
      </w:r>
    </w:p>
    <w:p w:rsidR="00000000" w:rsidRPr="009C2DF1" w:rsidP="00AC609B">
      <w:pPr>
        <w:pStyle w:val="BodyText"/>
      </w:pPr>
      <w:r w:rsidRPr="009C2DF1">
        <w:t>Nil</w:t>
      </w:r>
    </w:p>
    <w:p w:rsidR="00000000" w:rsidRPr="009C2DF1" w:rsidP="009C2DF1">
      <w:pPr>
        <w:pStyle w:val="Heading1"/>
      </w:pPr>
      <w:bookmarkStart w:id="4" w:name="O_989828"/>
      <w:bookmarkEnd w:id="4"/>
      <w:r w:rsidRPr="009C2DF1">
        <w:t>Competency Field</w:t>
      </w:r>
    </w:p>
    <w:p w:rsidR="00000000" w:rsidRPr="009C2DF1" w:rsidP="00AC609B">
      <w:pPr>
        <w:pStyle w:val="BodyText"/>
      </w:pPr>
      <w:r w:rsidRPr="009C2DF1">
        <w:t>Sustainable operations</w:t>
      </w:r>
    </w:p>
    <w:p w:rsidR="00000000" w:rsidRPr="009C2DF1" w:rsidP="009C2DF1">
      <w:pPr>
        <w:pStyle w:val="Heading1"/>
      </w:pPr>
      <w:bookmarkStart w:id="5" w:name="O_989829"/>
      <w:bookmarkEnd w:id="5"/>
      <w:r w:rsidRPr="009C2DF1">
        <w:t>Unit Sector</w:t>
      </w:r>
    </w:p>
    <w:p w:rsidR="00000000" w:rsidRPr="009C2DF1" w:rsidP="00AC609B">
      <w:pPr>
        <w:pStyle w:val="BodyText"/>
      </w:pPr>
      <w:r w:rsidRPr="009C2DF1">
        <w:t>Not applicable</w:t>
      </w:r>
    </w:p>
    <w:p w:rsidR="00000000" w:rsidRPr="009C2DF1" w:rsidP="009C2DF1">
      <w:pPr>
        <w:pStyle w:val="Heading1"/>
      </w:pPr>
      <w:bookmarkStart w:id="6" w:name="O_989830"/>
      <w:bookmarkEnd w:id="6"/>
      <w:r w:rsidRPr="009C2D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Elements describe the essen</w:t>
            </w:r>
            <w:r w:rsidRPr="009C2DF1">
              <w:t>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Performance criteria describe the performance needed to demonstrate achievement of the element.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F1" w:rsidP="009C2DF1">
            <w:pPr>
              <w:pStyle w:val="BodyText"/>
            </w:pPr>
            <w:r w:rsidRPr="009C2DF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rPr>
                <w:rStyle w:val="SpecialBold"/>
              </w:rPr>
              <w:t>Define the benefit received by the customer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Identify an existing or potential new product or service to design or redesign for sustainability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Identify customers and determine how they will use the product or service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Analyse the benefits received by the customer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Define and rank the benefits received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Validate benefits according to organisation requirements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F1" w:rsidP="009C2DF1">
            <w:pPr>
              <w:pStyle w:val="BodyText"/>
            </w:pPr>
            <w:r w:rsidRPr="009C2DF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rPr>
                <w:rStyle w:val="SpecialBold"/>
              </w:rPr>
              <w:t>Develop alternative ways of delivering benefit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Brainstorm alternative methods of delivering required benefits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Brainstorm related benefits which may also be delivered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Analyse sustainability impacts of each alternative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Consult with stakeholders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Rank alternatives by sustainability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Write an initial business case for top ranked alternatives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F1" w:rsidP="009C2DF1">
            <w:pPr>
              <w:pStyle w:val="BodyText"/>
            </w:pPr>
            <w:r w:rsidRPr="009C2DF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rPr>
                <w:rStyle w:val="SpecialBold"/>
              </w:rPr>
              <w:t>Develop product or service and process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Develop product or service design specification for alternatives most likely to be implemented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Determine likely process for alternatives most likely to be implemented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Analyse life cycle sustainability for alternatives most likely to be implemented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Select alternative to develop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Consult with stakeholders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Confirm selected alternative does deliver key customer benefits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F1" w:rsidP="009C2DF1">
            <w:pPr>
              <w:pStyle w:val="BodyText"/>
            </w:pPr>
            <w:r w:rsidRPr="009C2DF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rPr>
                <w:rStyle w:val="SpecialBold"/>
              </w:rPr>
              <w:t>Confirm design for selected alternative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Develop and document product or service specification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Develop and document key process parameters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Consult with stakeholders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Write business case for implementing selected alternative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Negotiate solutions to value chain issues caused by changed design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F1" w:rsidP="009C2DF1">
            <w:pPr>
              <w:pStyle w:val="BodyText"/>
            </w:pPr>
            <w:r w:rsidRPr="009C2DF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rPr>
                <w:rStyle w:val="SpecialBold"/>
              </w:rPr>
              <w:t xml:space="preserve">Communicate required responses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Identify what communications are required and to whom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Prepare reports and recommendations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Pitch reports and recommendations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Brief appropriate persons as required by determined responses</w:t>
            </w:r>
          </w:p>
        </w:tc>
      </w:tr>
      <w:tr w:rsidTr="009C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F1">
            <w:pPr>
              <w:pStyle w:val="BodyText"/>
              <w:rPr>
                <w:lang w:val="en-NZ"/>
              </w:rPr>
            </w:pPr>
            <w:r w:rsidRPr="009C2DF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F1" w:rsidP="009C2DF1">
            <w:pPr>
              <w:pStyle w:val="BodyText"/>
            </w:pPr>
            <w:r w:rsidRPr="009C2DF1">
              <w:t>Finalise recording according to organisation requirements</w:t>
            </w:r>
          </w:p>
        </w:tc>
      </w:tr>
    </w:tbl>
    <w:p w:rsidR="00000000" w:rsidRPr="009C2DF1" w:rsidP="009C2DF1">
      <w:pPr>
        <w:pStyle w:val="BodyText"/>
      </w:pPr>
    </w:p>
    <w:p w:rsidR="00000000" w:rsidRPr="009C2DF1" w:rsidP="009C2DF1">
      <w:pPr>
        <w:pStyle w:val="AllowPageBreak"/>
      </w:pPr>
    </w:p>
    <w:p w:rsidR="00000000" w:rsidRPr="009C2DF1" w:rsidP="009C2DF1">
      <w:pPr>
        <w:pStyle w:val="Heading1"/>
      </w:pPr>
      <w:bookmarkStart w:id="7" w:name="O_989831"/>
      <w:bookmarkEnd w:id="7"/>
      <w:r w:rsidRPr="009C2DF1">
        <w:t>Foundation Skills</w:t>
      </w:r>
    </w:p>
    <w:p w:rsidR="00000000" w:rsidRPr="009C2DF1" w:rsidP="00AC609B">
      <w:pPr>
        <w:pStyle w:val="BodyText"/>
      </w:pPr>
      <w:r w:rsidRPr="009C2DF1">
        <w:t>This section describes those language, literacy, numeracy and employment skills that are ess</w:t>
      </w:r>
      <w:r w:rsidRPr="009C2DF1">
        <w:t>ential to performance.</w:t>
      </w:r>
    </w:p>
    <w:p w:rsidR="00000000" w:rsidRPr="009C2DF1" w:rsidP="00AC609B">
      <w:pPr>
        <w:pStyle w:val="BodyText"/>
      </w:pPr>
      <w:r w:rsidRPr="009C2DF1">
        <w:t>Foundation skills essential to performance are explicit in the performance criteria of this unit of competency.</w:t>
      </w:r>
    </w:p>
    <w:p w:rsidR="00000000" w:rsidRPr="009C2DF1" w:rsidP="009C2DF1">
      <w:pPr>
        <w:pStyle w:val="Heading1"/>
      </w:pPr>
      <w:bookmarkStart w:id="8" w:name="O_989833"/>
      <w:bookmarkEnd w:id="8"/>
      <w:r w:rsidRPr="009C2DF1">
        <w:t>Unit Mapping Information</w:t>
      </w:r>
    </w:p>
    <w:p w:rsidR="00000000" w:rsidRPr="009C2DF1" w:rsidP="00AC609B">
      <w:pPr>
        <w:pStyle w:val="BodyText"/>
      </w:pPr>
      <w:r w:rsidRPr="009C2DF1">
        <w:t>Release 1. Supersedes and is equivalent to MSS017007 Design for sustainability.</w:t>
      </w:r>
    </w:p>
    <w:p w:rsidR="00000000" w:rsidRPr="009C2DF1" w:rsidP="009C2DF1">
      <w:pPr>
        <w:pStyle w:val="Heading1"/>
      </w:pPr>
      <w:bookmarkStart w:id="9" w:name="O_989840"/>
      <w:bookmarkEnd w:id="9"/>
      <w:r w:rsidRPr="009C2DF1">
        <w:t>Links</w:t>
      </w:r>
    </w:p>
    <w:p w:rsidR="00000000" w:rsidRPr="009C2DF1" w:rsidP="00AC609B">
      <w:pPr>
        <w:pStyle w:val="BodyText"/>
      </w:pPr>
      <w:r w:rsidRPr="009C2DF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B6EF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C2DF1" w:rsidP="00AC609B">
      <w:pPr>
        <w:pStyle w:val="BodyText"/>
        <w:sectPr w:rsidSect="009C2D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2DF1" w:rsidP="009C2DF1">
      <w:pPr>
        <w:pStyle w:val="SuperHeading"/>
      </w:pPr>
      <w:r w:rsidRPr="009C2DF1">
        <w:t>Assessmen</w:t>
      </w:r>
      <w:r w:rsidRPr="009C2DF1">
        <w:t>t Requirements for MSS017015 Design for sustainability</w:t>
      </w:r>
    </w:p>
    <w:p w:rsidR="00000000" w:rsidRPr="009C2DF1" w:rsidP="009C2DF1">
      <w:pPr>
        <w:pStyle w:val="Heading1"/>
      </w:pPr>
      <w:bookmarkStart w:id="10" w:name="O_989835"/>
      <w:bookmarkEnd w:id="10"/>
      <w:r w:rsidRPr="009C2DF1">
        <w:t>Modification History</w:t>
      </w:r>
    </w:p>
    <w:p w:rsidR="00000000" w:rsidRPr="009C2DF1" w:rsidP="00AC609B">
      <w:pPr>
        <w:pStyle w:val="BodyText"/>
      </w:pPr>
      <w:r w:rsidRPr="009C2DF1">
        <w:t>Release 1. Updated unit code. Changes to elements and performance criteria. Range of conditions removed. Assessment requirements amended. Equivalent outcome.</w:t>
      </w:r>
    </w:p>
    <w:p w:rsidR="00000000" w:rsidRPr="009C2DF1" w:rsidP="009C2DF1">
      <w:pPr>
        <w:pStyle w:val="Heading1"/>
      </w:pPr>
      <w:bookmarkStart w:id="11" w:name="O_989836"/>
      <w:bookmarkEnd w:id="11"/>
      <w:r w:rsidRPr="009C2DF1">
        <w:t>Performance Evidence</w:t>
      </w:r>
    </w:p>
    <w:p w:rsidR="00000000" w:rsidRPr="009C2DF1" w:rsidP="00AC609B">
      <w:pPr>
        <w:pStyle w:val="BodyText"/>
      </w:pPr>
      <w:r w:rsidRPr="009C2DF1">
        <w:t>There must be evidence the candidate has completed the tasks outlined in the elements and performance criteria of this unit, and:</w:t>
      </w:r>
    </w:p>
    <w:p w:rsidR="00000000" w:rsidRPr="009C2DF1" w:rsidP="009C2DF1">
      <w:pPr>
        <w:pStyle w:val="ListBullet"/>
      </w:pPr>
      <w:r w:rsidRPr="009C2DF1">
        <w:t>designed or redesigned at least 1 new or existing product or service for sustainability.</w:t>
      </w:r>
    </w:p>
    <w:p w:rsidR="00000000" w:rsidRPr="009C2DF1" w:rsidP="009C2DF1">
      <w:pPr>
        <w:pStyle w:val="AllowPageBreak"/>
      </w:pPr>
    </w:p>
    <w:p w:rsidR="00000000" w:rsidRPr="009C2DF1" w:rsidP="009C2DF1">
      <w:pPr>
        <w:pStyle w:val="Heading1"/>
      </w:pPr>
      <w:bookmarkStart w:id="12" w:name="O_989837"/>
      <w:bookmarkEnd w:id="12"/>
      <w:r w:rsidRPr="009C2DF1">
        <w:t>Knowledge Evidence</w:t>
      </w:r>
    </w:p>
    <w:p w:rsidR="00000000" w:rsidRPr="009C2DF1" w:rsidP="00AC609B">
      <w:pPr>
        <w:pStyle w:val="BodyText"/>
      </w:pPr>
      <w:r w:rsidRPr="009C2DF1">
        <w:t>There must be evidence the candidate has knowledge of:</w:t>
      </w:r>
    </w:p>
    <w:p w:rsidR="00000000" w:rsidRPr="009C2DF1" w:rsidP="009C2DF1">
      <w:pPr>
        <w:pStyle w:val="ListBullet"/>
      </w:pPr>
      <w:r w:rsidRPr="009C2DF1">
        <w:t>process and changes which occur at each step in selected value chain</w:t>
      </w:r>
    </w:p>
    <w:p w:rsidR="00000000" w:rsidRPr="009C2DF1" w:rsidP="009C2DF1">
      <w:pPr>
        <w:pStyle w:val="ListBullet"/>
      </w:pPr>
      <w:r w:rsidRPr="009C2DF1">
        <w:t>principles of sustainability</w:t>
      </w:r>
    </w:p>
    <w:p w:rsidR="00000000" w:rsidRPr="009C2DF1" w:rsidP="009C2DF1">
      <w:pPr>
        <w:pStyle w:val="ListBullet"/>
      </w:pPr>
      <w:r w:rsidRPr="009C2DF1">
        <w:t>sustainability impacts at different points in the value chain</w:t>
      </w:r>
    </w:p>
    <w:p w:rsidR="00000000" w:rsidRPr="009C2DF1" w:rsidP="009C2DF1">
      <w:pPr>
        <w:pStyle w:val="ListBullet"/>
      </w:pPr>
      <w:r w:rsidRPr="009C2DF1">
        <w:t>principles of sustainable design</w:t>
      </w:r>
    </w:p>
    <w:p w:rsidR="00000000" w:rsidRPr="009C2DF1" w:rsidP="009C2DF1">
      <w:pPr>
        <w:pStyle w:val="ListBullet"/>
      </w:pPr>
      <w:r w:rsidRPr="009C2DF1">
        <w:t>the sustainability hierarchy</w:t>
      </w:r>
    </w:p>
    <w:p w:rsidR="00000000" w:rsidRPr="009C2DF1" w:rsidP="009C2DF1">
      <w:pPr>
        <w:pStyle w:val="ListBullet"/>
      </w:pPr>
      <w:r w:rsidRPr="009C2DF1">
        <w:t>sources and transport of materials and components and alternatives</w:t>
      </w:r>
    </w:p>
    <w:p w:rsidR="00000000" w:rsidRPr="009C2DF1" w:rsidP="009C2DF1">
      <w:pPr>
        <w:pStyle w:val="ListBullet"/>
      </w:pPr>
      <w:r w:rsidRPr="009C2DF1">
        <w:t>processes for producing products, and alternatives</w:t>
      </w:r>
    </w:p>
    <w:p w:rsidR="00000000" w:rsidRPr="009C2DF1" w:rsidP="009C2DF1">
      <w:pPr>
        <w:pStyle w:val="ListBullet"/>
      </w:pPr>
      <w:r w:rsidRPr="009C2DF1">
        <w:t xml:space="preserve">life cycle analysis techniques </w:t>
      </w:r>
    </w:p>
    <w:p w:rsidR="00000000" w:rsidRPr="009C2DF1" w:rsidP="009C2DF1">
      <w:pPr>
        <w:pStyle w:val="ListBullet"/>
      </w:pPr>
      <w:r w:rsidRPr="009C2DF1">
        <w:t>risk assessment and hierarchy of hazard cont</w:t>
      </w:r>
      <w:r w:rsidRPr="009C2DF1">
        <w:t xml:space="preserve">rol and its application to sustainability </w:t>
      </w:r>
    </w:p>
    <w:p w:rsidR="00000000" w:rsidRPr="009C2DF1" w:rsidP="009C2DF1">
      <w:pPr>
        <w:pStyle w:val="ListBullet"/>
      </w:pPr>
      <w:r w:rsidRPr="009C2DF1">
        <w:t>sustainability legislation, regulation and protocols, government incentives and initiatives.</w:t>
      </w:r>
    </w:p>
    <w:p w:rsidR="00000000" w:rsidRPr="009C2DF1" w:rsidP="009C2DF1">
      <w:pPr>
        <w:pStyle w:val="AllowPageBreak"/>
      </w:pPr>
    </w:p>
    <w:p w:rsidR="00000000" w:rsidRPr="009C2DF1" w:rsidP="009C2DF1">
      <w:pPr>
        <w:pStyle w:val="Heading1"/>
      </w:pPr>
      <w:bookmarkStart w:id="13" w:name="O_989838"/>
      <w:bookmarkEnd w:id="13"/>
      <w:r w:rsidRPr="009C2DF1">
        <w:t>Assessment Conditions</w:t>
      </w:r>
    </w:p>
    <w:p w:rsidR="00000000" w:rsidRPr="009C2DF1" w:rsidP="00AC609B">
      <w:pPr>
        <w:pStyle w:val="BodyText"/>
      </w:pPr>
      <w:r w:rsidRPr="009C2DF1">
        <w:t xml:space="preserve">Skills must have been demonstrated in the workplace or in a simulated environment that reflects workplace conditions, contingencies, facilities, equipment and resources. </w:t>
      </w:r>
    </w:p>
    <w:p w:rsidR="00000000" w:rsidRPr="009C2DF1" w:rsidP="00AC609B">
      <w:pPr>
        <w:pStyle w:val="BodyText"/>
      </w:pPr>
      <w:r w:rsidRPr="009C2DF1">
        <w:t>Assessors must satisfy the NVR/AQTF mandatory competency requirements for assessors.</w:t>
      </w:r>
    </w:p>
    <w:p w:rsidR="00000000" w:rsidRPr="009C2DF1" w:rsidP="009C2DF1">
      <w:pPr>
        <w:pStyle w:val="Heading1"/>
      </w:pPr>
      <w:bookmarkStart w:id="14" w:name="O_989841"/>
      <w:bookmarkEnd w:id="14"/>
      <w:r w:rsidRPr="009C2DF1">
        <w:t>Links</w:t>
      </w:r>
    </w:p>
    <w:p w:rsidR="00000000" w:rsidRPr="009C2DF1" w:rsidP="00AC609B">
      <w:pPr>
        <w:pStyle w:val="BodyText"/>
      </w:pPr>
      <w:r w:rsidRPr="009C2DF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B6EF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C2DF1" w:rsidP="009C2DF1"/>
    <w:sectPr w:rsidSect="009C2D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F1" w:rsidRPr="00AC609B" w:rsidP="00AC6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9B" w:rsidP="009C2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09B" w:rsidP="009C2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C609B" w:rsidP="009C2D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F1" w:rsidP="009C2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609B">
      <w:t>Approved</w:t>
    </w:r>
    <w:r w:rsidR="00AC60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60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609B">
      <w:rPr>
        <w:noProof/>
      </w:rPr>
      <w:t>4</w:t>
    </w:r>
    <w:r>
      <w:rPr>
        <w:noProof/>
      </w:rPr>
      <w:fldChar w:fldCharType="end"/>
    </w:r>
  </w:p>
  <w:p w:rsidR="009C2DF1" w:rsidP="009C2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60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609B">
      <w:t>Manufacturing Industry Skills Alliance</w:t>
    </w:r>
    <w:r w:rsidR="00AC609B">
      <w:fldChar w:fldCharType="end"/>
    </w:r>
  </w:p>
  <w:p w:rsidR="009C2DF1" w:rsidP="009C2D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DF1" w:rsidRPr="00AC609B" w:rsidP="00AC6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9B" w:rsidRPr="002D2AF8" w:rsidP="009C2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MSS017015 Design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609B" w:rsidP="009C2D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F1" w:rsidRPr="002D2AF8" w:rsidP="009C2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609B">
      <w:t>MSS017015 Design for sustainability</w:t>
    </w:r>
    <w:r w:rsidR="00AC60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609B">
      <w:rPr>
        <w:noProof/>
      </w:rPr>
      <w:t>2 March 2025</w:t>
    </w:r>
    <w:r>
      <w:fldChar w:fldCharType="end"/>
    </w:r>
  </w:p>
  <w:p w:rsidR="009C2DF1" w:rsidP="009C2D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48D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1C3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DF1"/>
  </w:style>
  <w:style w:type="character" w:customStyle="1" w:styleId="Heading1Char">
    <w:name w:val="Heading 1 Char"/>
    <w:basedOn w:val="DefaultParagraphFont"/>
    <w:link w:val="Heading1"/>
    <w:rsid w:val="009C2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D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D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D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2DF1"/>
    <w:rPr>
      <w:b/>
      <w:spacing w:val="0"/>
    </w:rPr>
  </w:style>
  <w:style w:type="paragraph" w:customStyle="1" w:styleId="SuperHeading">
    <w:name w:val="SuperHeading"/>
    <w:basedOn w:val="Normal"/>
    <w:rsid w:val="009C2D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D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D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D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D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2D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2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D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D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DF1"/>
    <w:rPr>
      <w:i/>
    </w:rPr>
  </w:style>
  <w:style w:type="paragraph" w:styleId="Caption">
    <w:name w:val="caption"/>
    <w:basedOn w:val="BodyText"/>
    <w:next w:val="Normal"/>
    <w:qFormat/>
    <w:rsid w:val="009C2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DF1"/>
  </w:style>
  <w:style w:type="paragraph" w:styleId="TableofFigures">
    <w:name w:val="table of figures"/>
    <w:basedOn w:val="Normal"/>
    <w:next w:val="Normal"/>
    <w:semiHidden/>
    <w:rsid w:val="009C2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D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2DF1"/>
    <w:rPr>
      <w:rFonts w:ascii="Wingdings" w:hAnsi="Wingdings"/>
    </w:rPr>
  </w:style>
  <w:style w:type="paragraph" w:customStyle="1" w:styleId="TableHeading">
    <w:name w:val="Table Heading"/>
    <w:basedOn w:val="HeadingBase"/>
    <w:rsid w:val="009C2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DF1"/>
    <w:rPr>
      <w:color w:val="0033CC"/>
      <w:u w:val="none"/>
    </w:rPr>
  </w:style>
  <w:style w:type="paragraph" w:customStyle="1" w:styleId="BodyTextRight">
    <w:name w:val="Body Text Right"/>
    <w:basedOn w:val="BodyText"/>
    <w:rsid w:val="009C2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D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D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DF1"/>
    <w:rPr>
      <w:sz w:val="32"/>
    </w:rPr>
  </w:style>
  <w:style w:type="paragraph" w:customStyle="1" w:styleId="HeadingProcedure">
    <w:name w:val="Heading Procedure"/>
    <w:basedOn w:val="HeadingBase"/>
    <w:next w:val="Normal"/>
    <w:rsid w:val="009C2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DF1"/>
    <w:pPr>
      <w:spacing w:before="60" w:after="60"/>
    </w:pPr>
  </w:style>
  <w:style w:type="paragraph" w:styleId="ListContinue">
    <w:name w:val="List Continue"/>
    <w:basedOn w:val="List"/>
    <w:rsid w:val="009C2DF1"/>
    <w:pPr>
      <w:ind w:firstLine="0"/>
    </w:pPr>
  </w:style>
  <w:style w:type="paragraph" w:customStyle="1" w:styleId="ListNote">
    <w:name w:val="List Note"/>
    <w:basedOn w:val="List"/>
    <w:rsid w:val="009C2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DF1"/>
    <w:rPr>
      <w:rFonts w:ascii="Courier New" w:hAnsi="Courier New"/>
    </w:rPr>
  </w:style>
  <w:style w:type="paragraph" w:customStyle="1" w:styleId="NoteBullet">
    <w:name w:val="Note Bullet"/>
    <w:basedOn w:val="Note"/>
    <w:rsid w:val="009C2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D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2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D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DF1"/>
    <w:rPr>
      <w:b/>
      <w:smallCaps/>
    </w:rPr>
  </w:style>
  <w:style w:type="paragraph" w:customStyle="1" w:styleId="TableListNumber">
    <w:name w:val="Table List Number"/>
    <w:basedOn w:val="ListNumber"/>
    <w:rsid w:val="009C2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DF1"/>
    <w:pPr>
      <w:numPr>
        <w:numId w:val="8"/>
      </w:numPr>
    </w:pPr>
  </w:style>
  <w:style w:type="paragraph" w:customStyle="1" w:styleId="ListAlpha2">
    <w:name w:val="List Alpha 2"/>
    <w:basedOn w:val="List2"/>
    <w:rsid w:val="009C2DF1"/>
    <w:pPr>
      <w:numPr>
        <w:numId w:val="7"/>
      </w:numPr>
    </w:pPr>
  </w:style>
  <w:style w:type="paragraph" w:styleId="List2">
    <w:name w:val="List 2"/>
    <w:basedOn w:val="BodyText"/>
    <w:rsid w:val="009C2D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D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D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D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2DF1"/>
    <w:pPr>
      <w:numPr>
        <w:numId w:val="3"/>
      </w:numPr>
    </w:pPr>
  </w:style>
  <w:style w:type="paragraph" w:styleId="ListContinue2">
    <w:name w:val="List Continue 2"/>
    <w:basedOn w:val="List2"/>
    <w:rsid w:val="009C2DF1"/>
    <w:pPr>
      <w:ind w:firstLine="0"/>
    </w:pPr>
  </w:style>
  <w:style w:type="paragraph" w:styleId="ListContinue3">
    <w:name w:val="List Continue 3"/>
    <w:basedOn w:val="List3"/>
    <w:rsid w:val="009C2DF1"/>
    <w:pPr>
      <w:ind w:left="1021" w:firstLine="0"/>
    </w:pPr>
  </w:style>
  <w:style w:type="paragraph" w:styleId="ListContinue4">
    <w:name w:val="List Continue 4"/>
    <w:basedOn w:val="List4"/>
    <w:rsid w:val="009C2DF1"/>
    <w:pPr>
      <w:ind w:firstLine="0"/>
    </w:pPr>
  </w:style>
  <w:style w:type="paragraph" w:styleId="ListContinue5">
    <w:name w:val="List Continue 5"/>
    <w:basedOn w:val="List5"/>
    <w:rsid w:val="009C2DF1"/>
    <w:pPr>
      <w:ind w:firstLine="0"/>
    </w:pPr>
  </w:style>
  <w:style w:type="paragraph" w:styleId="ListNumber3">
    <w:name w:val="List Number 3"/>
    <w:basedOn w:val="List3"/>
    <w:rsid w:val="009C2DF1"/>
    <w:pPr>
      <w:numPr>
        <w:numId w:val="4"/>
      </w:numPr>
    </w:pPr>
  </w:style>
  <w:style w:type="paragraph" w:styleId="ListNumber4">
    <w:name w:val="List Number 4"/>
    <w:basedOn w:val="List4"/>
    <w:rsid w:val="009C2DF1"/>
    <w:pPr>
      <w:numPr>
        <w:numId w:val="5"/>
      </w:numPr>
    </w:pPr>
  </w:style>
  <w:style w:type="paragraph" w:styleId="ListNumber5">
    <w:name w:val="List Number 5"/>
    <w:basedOn w:val="List5"/>
    <w:rsid w:val="009C2DF1"/>
    <w:pPr>
      <w:numPr>
        <w:numId w:val="6"/>
      </w:numPr>
    </w:pPr>
  </w:style>
  <w:style w:type="paragraph" w:styleId="BlockText">
    <w:name w:val="Block Text"/>
    <w:basedOn w:val="Normal"/>
    <w:rsid w:val="009C2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DF1"/>
    <w:rPr>
      <w:sz w:val="16"/>
      <w:vertAlign w:val="superscript"/>
    </w:rPr>
  </w:style>
  <w:style w:type="character" w:customStyle="1" w:styleId="Symbols">
    <w:name w:val="Symbols"/>
    <w:basedOn w:val="DefaultParagraphFont"/>
    <w:rsid w:val="009C2DF1"/>
    <w:rPr>
      <w:rFonts w:ascii="Symbol" w:hAnsi="Symbol"/>
    </w:rPr>
  </w:style>
  <w:style w:type="character" w:customStyle="1" w:styleId="MenuOptions">
    <w:name w:val="Menu Options"/>
    <w:basedOn w:val="DefaultParagraphFont"/>
    <w:rsid w:val="009C2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DF1"/>
    <w:rPr>
      <w:b/>
    </w:rPr>
  </w:style>
  <w:style w:type="character" w:customStyle="1" w:styleId="Underlined">
    <w:name w:val="Underlined"/>
    <w:basedOn w:val="DefaultParagraphFont"/>
    <w:rsid w:val="009C2DF1"/>
    <w:rPr>
      <w:u w:val="single"/>
    </w:rPr>
  </w:style>
  <w:style w:type="paragraph" w:customStyle="1" w:styleId="TableBodyTextRight">
    <w:name w:val="Table Body Text Right"/>
    <w:basedOn w:val="TableBodyText"/>
    <w:rsid w:val="009C2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DF1"/>
    <w:rPr>
      <w:sz w:val="18"/>
    </w:rPr>
  </w:style>
  <w:style w:type="paragraph" w:customStyle="1" w:styleId="BodySmallRight">
    <w:name w:val="Body Small Right"/>
    <w:basedOn w:val="BodyTextRight"/>
    <w:rsid w:val="009C2DF1"/>
    <w:rPr>
      <w:sz w:val="18"/>
      <w:szCs w:val="18"/>
    </w:rPr>
  </w:style>
  <w:style w:type="paragraph" w:customStyle="1" w:styleId="MarginEdition">
    <w:name w:val="Margin Edition"/>
    <w:basedOn w:val="MarginNote"/>
    <w:rsid w:val="009C2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DF1"/>
    <w:rPr>
      <w:sz w:val="2"/>
      <w:szCs w:val="2"/>
    </w:rPr>
  </w:style>
  <w:style w:type="character" w:customStyle="1" w:styleId="Small">
    <w:name w:val="Small"/>
    <w:basedOn w:val="DefaultParagraphFont"/>
    <w:rsid w:val="009C2DF1"/>
    <w:rPr>
      <w:sz w:val="16"/>
    </w:rPr>
  </w:style>
  <w:style w:type="paragraph" w:customStyle="1" w:styleId="WideTable">
    <w:name w:val="Wide Table"/>
    <w:basedOn w:val="Normal"/>
    <w:rsid w:val="009C2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DF1"/>
  </w:style>
  <w:style w:type="paragraph" w:styleId="Quote">
    <w:name w:val="Quote"/>
    <w:basedOn w:val="Heading1"/>
    <w:link w:val="QuoteChar"/>
    <w:qFormat/>
    <w:rsid w:val="009C2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DF1"/>
    <w:pPr>
      <w:pageBreakBefore/>
    </w:pPr>
  </w:style>
  <w:style w:type="paragraph" w:customStyle="1" w:styleId="Border">
    <w:name w:val="Border"/>
    <w:basedOn w:val="Normal"/>
    <w:qFormat/>
    <w:rsid w:val="009C2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D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DF1"/>
    <w:rPr>
      <w:u w:val="single"/>
    </w:rPr>
  </w:style>
  <w:style w:type="character" w:customStyle="1" w:styleId="BoldandItalics">
    <w:name w:val="Bold and Italics"/>
    <w:qFormat/>
    <w:rsid w:val="009C2DF1"/>
    <w:rPr>
      <w:b/>
      <w:i/>
      <w:u w:val="none"/>
    </w:rPr>
  </w:style>
  <w:style w:type="paragraph" w:styleId="BalloonText">
    <w:name w:val="Balloon Text"/>
    <w:basedOn w:val="Normal"/>
    <w:link w:val="BalloonTextChar"/>
    <w:rsid w:val="009C2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D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D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D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D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D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DF1"/>
    <w:pPr>
      <w:spacing w:before="0" w:after="0"/>
    </w:pPr>
  </w:style>
  <w:style w:type="paragraph" w:customStyle="1" w:styleId="BodyTextBold">
    <w:name w:val="Body Text Bold"/>
    <w:basedOn w:val="BodyText"/>
    <w:qFormat/>
    <w:rsid w:val="009C2DF1"/>
    <w:rPr>
      <w:b/>
    </w:rPr>
  </w:style>
  <w:style w:type="character" w:styleId="Hyperlink">
    <w:name w:val="Hyperlink"/>
    <w:basedOn w:val="DefaultParagraphFont"/>
    <w:uiPriority w:val="99"/>
    <w:unhideWhenUsed/>
    <w:rsid w:val="00AC6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4669</Characters>
  <Application>Microsoft Office Word</Application>
  <DocSecurity>0</DocSecurity>
  <Lines>233</Lines>
  <Paragraphs>138</Paragraphs>
  <ScaleCrop>false</ScaleCrop>
  <Company>Author-it Software Corporation Ltd.</Company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MSS017015 Design for sustainability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