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550A" w:rsidP="0028550A">
      <w:pPr>
        <w:pStyle w:val="Title"/>
      </w:pPr>
      <w:r>
        <w:fldChar w:fldCharType="begin"/>
      </w:r>
      <w:r>
        <w:instrText xml:space="preserve"> TITLE   \* MERGEFORMAT </w:instrText>
      </w:r>
      <w:r>
        <w:fldChar w:fldCharType="separate"/>
      </w:r>
      <w:r>
        <w:t>MSS017003 Identify and respond to external sustainability factors for an organisation</w:t>
      </w:r>
      <w:r>
        <w:fldChar w:fldCharType="end"/>
      </w:r>
    </w:p>
    <w:p w:rsidR="0028550A" w:rsidP="0028550A">
      <w:pPr>
        <w:pStyle w:val="Version"/>
        <w:sectPr w:rsidSect="00B339F8">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B339F8" w:rsidP="00B339F8">
      <w:pPr>
        <w:pStyle w:val="SuperHeading"/>
      </w:pPr>
      <w:r w:rsidRPr="00B339F8">
        <w:t>MSS017003 Identify and respond to external sustainability factors for an organisation</w:t>
      </w:r>
    </w:p>
    <w:p w:rsidR="00000000" w:rsidRPr="00B339F8" w:rsidP="00B339F8">
      <w:pPr>
        <w:pStyle w:val="Heading1"/>
      </w:pPr>
      <w:bookmarkStart w:id="1" w:name="O_923324"/>
      <w:bookmarkEnd w:id="1"/>
      <w:r w:rsidRPr="00B339F8">
        <w:t>Modification History</w:t>
      </w:r>
    </w:p>
    <w:p w:rsidR="00000000" w:rsidRPr="00B339F8" w:rsidP="00B339F8">
      <w:pPr>
        <w:pStyle w:val="BodyText"/>
      </w:pPr>
      <w:r w:rsidRPr="00B339F8">
        <w:t xml:space="preserve">Release 1. Supersedes and is equivalent to MSS017003A Identify and respond to external sustainability factors for an organisation. </w:t>
      </w:r>
    </w:p>
    <w:p w:rsidR="00000000" w:rsidRPr="00B339F8" w:rsidP="00B339F8">
      <w:pPr>
        <w:pStyle w:val="AllowPageBreak"/>
      </w:pPr>
    </w:p>
    <w:p w:rsidR="00000000" w:rsidRPr="00B339F8" w:rsidP="00B339F8">
      <w:pPr>
        <w:pStyle w:val="Heading1"/>
      </w:pPr>
      <w:bookmarkStart w:id="2" w:name="O_923332"/>
      <w:bookmarkEnd w:id="2"/>
      <w:r w:rsidRPr="00B339F8">
        <w:t>Application</w:t>
      </w:r>
    </w:p>
    <w:p w:rsidR="00000000" w:rsidRPr="00B339F8" w:rsidP="00B339F8">
      <w:pPr>
        <w:pStyle w:val="BodyText"/>
      </w:pPr>
      <w:r w:rsidRPr="00B339F8">
        <w:t xml:space="preserve">This unit of competency covers the recognition of external sustainability related factors which are relevant to the organisation and then developing an appropriate response. It may be applied to an entire organisation, part of </w:t>
      </w:r>
      <w:r w:rsidRPr="00B339F8">
        <w:t>a large organisation, or part or all of a value chain.</w:t>
      </w:r>
    </w:p>
    <w:p w:rsidR="00000000" w:rsidRPr="00B339F8" w:rsidP="00B339F8">
      <w:pPr>
        <w:pStyle w:val="BodyText"/>
      </w:pPr>
    </w:p>
    <w:p w:rsidR="00000000" w:rsidRPr="00B339F8" w:rsidP="00B339F8">
      <w:pPr>
        <w:pStyle w:val="BodyText"/>
      </w:pPr>
      <w:r w:rsidRPr="00B339F8">
        <w:t>A manager or senior technologist who has a significant sustainability responsibility work role would typically undertake the scanning of factors which influence an organisation and its environment, id</w:t>
      </w:r>
      <w:r w:rsidRPr="00B339F8">
        <w:t xml:space="preserve">entifying those which relate to sustainability and require a response or where a response would benefit the organisation and then developing or organising an appropriate response. The organisation’s environment, for the purpose of this unit, is considered </w:t>
      </w:r>
      <w:r w:rsidRPr="00B339F8">
        <w:t>to include the ecology it impacts, the economic impacts on the organisation and the social impacts of the organisation.</w:t>
      </w:r>
    </w:p>
    <w:p w:rsidR="00000000" w:rsidRPr="00B339F8" w:rsidP="00B339F8">
      <w:pPr>
        <w:pStyle w:val="BodyText"/>
      </w:pPr>
    </w:p>
    <w:p w:rsidR="00000000" w:rsidRPr="00B339F8" w:rsidP="00B339F8">
      <w:pPr>
        <w:pStyle w:val="BodyText"/>
      </w:pPr>
      <w:r w:rsidRPr="00B339F8">
        <w:t>Skills covered by this unit may be applied individually or in a team context.</w:t>
      </w:r>
    </w:p>
    <w:p w:rsidR="00000000" w:rsidRPr="00B339F8" w:rsidP="00B339F8">
      <w:pPr>
        <w:pStyle w:val="BodyText"/>
      </w:pPr>
    </w:p>
    <w:p w:rsidR="00000000" w:rsidRPr="00B339F8" w:rsidP="00B339F8">
      <w:pPr>
        <w:pStyle w:val="BodyText"/>
      </w:pPr>
      <w:r w:rsidRPr="00B339F8">
        <w:t>This unit will lead to the identification of sustainabil</w:t>
      </w:r>
      <w:r w:rsidRPr="00B339F8">
        <w:t xml:space="preserve">ity responses by the organisation in response to external factors. </w:t>
      </w:r>
    </w:p>
    <w:p w:rsidR="00000000" w:rsidRPr="00B339F8" w:rsidP="00B339F8">
      <w:pPr>
        <w:pStyle w:val="BodyText"/>
      </w:pPr>
    </w:p>
    <w:p w:rsidR="00000000" w:rsidRPr="00B339F8" w:rsidP="00B339F8">
      <w:pPr>
        <w:pStyle w:val="BodyText"/>
      </w:pPr>
      <w:r w:rsidRPr="00B339F8">
        <w:t>No licensing, legislative or certification requirements apply to this unit at the time of publication.</w:t>
      </w:r>
    </w:p>
    <w:p w:rsidR="00000000" w:rsidRPr="00B339F8" w:rsidP="00B339F8">
      <w:pPr>
        <w:pStyle w:val="AllowPageBreak"/>
      </w:pPr>
    </w:p>
    <w:p w:rsidR="00000000" w:rsidRPr="00B339F8" w:rsidP="00B339F8">
      <w:pPr>
        <w:pStyle w:val="Heading1"/>
      </w:pPr>
      <w:bookmarkStart w:id="3" w:name="O_923331"/>
      <w:bookmarkEnd w:id="3"/>
      <w:r w:rsidRPr="00B339F8">
        <w:t>Pre-requisite Unit</w:t>
      </w:r>
    </w:p>
    <w:p w:rsidR="00000000" w:rsidRPr="00B339F8" w:rsidP="00B339F8">
      <w:pPr>
        <w:pStyle w:val="BodyText"/>
      </w:pPr>
      <w:r w:rsidRPr="00B339F8">
        <w:t>Nil</w:t>
      </w:r>
    </w:p>
    <w:p w:rsidR="00000000" w:rsidRPr="00B339F8" w:rsidP="00B339F8">
      <w:pPr>
        <w:pStyle w:val="AllowPageBreak"/>
      </w:pPr>
    </w:p>
    <w:p w:rsidR="00000000" w:rsidRPr="00B339F8" w:rsidP="00B339F8">
      <w:pPr>
        <w:pStyle w:val="Heading1"/>
      </w:pPr>
      <w:bookmarkStart w:id="4" w:name="O_923330"/>
      <w:bookmarkEnd w:id="4"/>
      <w:r w:rsidRPr="00B339F8">
        <w:t>Competency Field</w:t>
      </w:r>
    </w:p>
    <w:p w:rsidR="00000000" w:rsidRPr="00B339F8" w:rsidP="00B339F8">
      <w:pPr>
        <w:pStyle w:val="BodyText"/>
      </w:pPr>
      <w:r w:rsidRPr="00B339F8">
        <w:t>Sustainabl</w:t>
      </w:r>
      <w:r w:rsidRPr="00B339F8">
        <w:t>e operations</w:t>
      </w:r>
    </w:p>
    <w:p w:rsidR="00000000" w:rsidRPr="00B339F8" w:rsidP="00B339F8">
      <w:pPr>
        <w:pStyle w:val="AllowPageBreak"/>
      </w:pPr>
    </w:p>
    <w:p w:rsidR="00000000" w:rsidRPr="00B339F8" w:rsidP="00B339F8">
      <w:pPr>
        <w:pStyle w:val="Heading1"/>
      </w:pPr>
      <w:bookmarkStart w:id="5" w:name="O_923329"/>
      <w:bookmarkEnd w:id="5"/>
      <w:r w:rsidRPr="00B339F8">
        <w:t>Unit Sector</w:t>
      </w:r>
    </w:p>
    <w:p w:rsidR="00000000" w:rsidRPr="00B339F8" w:rsidP="00B339F8">
      <w:pPr>
        <w:pStyle w:val="BodyText"/>
      </w:pPr>
      <w:r w:rsidRPr="00B339F8">
        <w:t>Not applicable</w:t>
      </w:r>
    </w:p>
    <w:p w:rsidR="00000000" w:rsidRPr="00B339F8" w:rsidP="00B339F8">
      <w:pPr>
        <w:pStyle w:val="AllowPageBreak"/>
      </w:pPr>
    </w:p>
    <w:p w:rsidR="00000000" w:rsidRPr="00B339F8" w:rsidP="00B339F8">
      <w:pPr>
        <w:pStyle w:val="Heading1"/>
      </w:pPr>
      <w:bookmarkStart w:id="6" w:name="O_923328"/>
      <w:bookmarkEnd w:id="6"/>
      <w:r w:rsidRPr="00B339F8">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B339F8">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Performance criteria describe the performance needed to demonstrate achievement of the element.</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39F8" w:rsidP="00B339F8">
            <w:pPr>
              <w:pStyle w:val="BodyText"/>
            </w:pPr>
            <w:r w:rsidRPr="00B339F8">
              <w:t>1</w:t>
            </w:r>
          </w:p>
        </w:tc>
        <w:tc>
          <w:tcPr>
            <w:tcW w:w="1962" w:type="dxa"/>
            <w:vMerge w:val="restart"/>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rPr>
                <w:rStyle w:val="SpecialBold"/>
              </w:rPr>
              <w:t>Monitor external environment for sustainability related factors</w:t>
            </w: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1.1</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Monitor relevant government legislation and regulation.</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1.2</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Monitor relevant government initiatives and programs.</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1.3</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Monitor customer expectations.</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1.4</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Monitor market trends and competitor actions.</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1.5</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Monitor expectations of communities impacted by organisation.</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1.6</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Identify factors which are relevant to the organisation.</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1.7</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Rank factors by significance.</w:t>
            </w:r>
          </w:p>
        </w:tc>
      </w:tr>
      <w:tr w:rsidTr="00B339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39F8">
            <w:pPr>
              <w:pStyle w:val="BodyText"/>
              <w:rPr>
                <w:lang w:val="en-NZ"/>
              </w:rPr>
            </w:pP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39F8" w:rsidP="00B339F8">
            <w:pPr>
              <w:pStyle w:val="BodyText"/>
            </w:pPr>
            <w:r w:rsidRPr="00B339F8">
              <w:t>2</w:t>
            </w:r>
          </w:p>
        </w:tc>
        <w:tc>
          <w:tcPr>
            <w:tcW w:w="1962" w:type="dxa"/>
            <w:vMerge w:val="restart"/>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rPr>
                <w:rStyle w:val="SpecialBold"/>
              </w:rPr>
              <w:t>Develop alternative responses to external factors</w:t>
            </w: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2.1</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Agree which factor or factors should be responded to now.</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2.2</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Determine minimum response required.</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2.3</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Compare impact of factors with organisation’s strategic direction.</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2.4</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Develop alternative responses which fit organisations strategic direction.</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2.5</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Analyse sustainability impacts for each practical response.</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2.6</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Consult relevant stakeholders.</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2.7</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Rank possible responses.</w:t>
            </w:r>
          </w:p>
        </w:tc>
      </w:tr>
      <w:tr w:rsidTr="00B339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39F8">
            <w:pPr>
              <w:pStyle w:val="BodyText"/>
              <w:rPr>
                <w:lang w:val="en-NZ"/>
              </w:rPr>
            </w:pP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39F8" w:rsidP="00B339F8">
            <w:pPr>
              <w:pStyle w:val="BodyText"/>
            </w:pPr>
            <w:r w:rsidRPr="00B339F8">
              <w:t>3</w:t>
            </w:r>
          </w:p>
        </w:tc>
        <w:tc>
          <w:tcPr>
            <w:tcW w:w="1962" w:type="dxa"/>
            <w:vMerge w:val="restart"/>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rPr>
                <w:rStyle w:val="SpecialBold"/>
              </w:rPr>
              <w:t>Communicate with relevant stakeholders</w:t>
            </w: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3.1</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Identify relevant stakeholders.</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3.2</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Determine stakeholder information needs and wants.</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3.3</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Analyse data which may be appropriate to communicate with stakeholders.</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3.4</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 xml:space="preserve">Prepare and disseminate information to stakeholders, as </w:t>
            </w:r>
            <w:r w:rsidRPr="00B339F8">
              <w:t>appropriate.</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3.5</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Negotiate solutions with stakeholders, as required.</w:t>
            </w:r>
          </w:p>
        </w:tc>
      </w:tr>
      <w:tr w:rsidTr="00B339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39F8">
            <w:pPr>
              <w:pStyle w:val="BodyText"/>
              <w:rPr>
                <w:lang w:val="en-NZ"/>
              </w:rPr>
            </w:pP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39F8" w:rsidP="00B339F8">
            <w:pPr>
              <w:pStyle w:val="BodyText"/>
            </w:pPr>
            <w:r w:rsidRPr="00B339F8">
              <w:t>4</w:t>
            </w:r>
          </w:p>
        </w:tc>
        <w:tc>
          <w:tcPr>
            <w:tcW w:w="1962" w:type="dxa"/>
            <w:vMerge w:val="restart"/>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rPr>
                <w:rStyle w:val="SpecialBold"/>
              </w:rPr>
              <w:t>Prepare response for factor or factors</w:t>
            </w: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4.1</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Agree on response to be progressed now.</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4.2</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Prepare business case for response.</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4.3</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Agree possible future action for other factors.</w:t>
            </w:r>
          </w:p>
        </w:tc>
      </w:tr>
      <w:tr w:rsidTr="00B339F8">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B339F8">
            <w:pPr>
              <w:pStyle w:val="BodyText"/>
              <w:rPr>
                <w:lang w:val="en-NZ"/>
              </w:rPr>
            </w:pP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B339F8" w:rsidP="00B339F8">
            <w:pPr>
              <w:pStyle w:val="BodyText"/>
            </w:pPr>
            <w:r w:rsidRPr="00B339F8">
              <w:t>5</w:t>
            </w:r>
          </w:p>
        </w:tc>
        <w:tc>
          <w:tcPr>
            <w:tcW w:w="1962" w:type="dxa"/>
            <w:vMerge w:val="restart"/>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rPr>
                <w:rStyle w:val="SpecialBold"/>
              </w:rPr>
              <w:t>Communicate required responses</w:t>
            </w: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5.1</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Identify what communications are required and to whom.</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5.2</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Prepare appropriate reports and recommendations.</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5.3</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Pitch reports and recommendations, as appropriate.</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5.4</w:t>
            </w:r>
          </w:p>
        </w:tc>
        <w:tc>
          <w:tcPr>
            <w:tcW w:w="561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Brief appropriate persons as required by determined responses.</w:t>
            </w:r>
          </w:p>
        </w:tc>
      </w:tr>
      <w:tr w:rsidTr="00B339F8">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5.5</w:t>
            </w:r>
          </w:p>
        </w:tc>
        <w:tc>
          <w:tcPr>
            <w:tcW w:w="5610" w:type="dxa"/>
            <w:tcBorders>
              <w:top w:val="nil"/>
              <w:left w:val="nil"/>
              <w:bottom w:val="nil"/>
              <w:right w:val="nil"/>
            </w:tcBorders>
            <w:tcMar>
              <w:top w:w="0" w:type="dxa"/>
              <w:left w:w="62" w:type="dxa"/>
              <w:bottom w:w="0" w:type="dxa"/>
              <w:right w:w="62" w:type="dxa"/>
            </w:tcMar>
          </w:tcPr>
          <w:p w:rsidR="00000000" w:rsidRPr="00B339F8" w:rsidP="00B339F8">
            <w:pPr>
              <w:pStyle w:val="BodyText"/>
            </w:pPr>
            <w:r w:rsidRPr="00B339F8">
              <w:t>Finalise appropriate recording.</w:t>
            </w:r>
          </w:p>
        </w:tc>
      </w:tr>
    </w:tbl>
    <w:p w:rsidR="00000000" w:rsidRPr="00B339F8" w:rsidP="00B339F8">
      <w:pPr>
        <w:pStyle w:val="BodyText"/>
      </w:pPr>
    </w:p>
    <w:p w:rsidR="00000000" w:rsidRPr="00B339F8" w:rsidP="00B339F8">
      <w:pPr>
        <w:pStyle w:val="AllowPageBreak"/>
      </w:pPr>
    </w:p>
    <w:p w:rsidR="00000000" w:rsidRPr="00B339F8" w:rsidP="00B339F8">
      <w:pPr>
        <w:pStyle w:val="Heading1"/>
      </w:pPr>
      <w:bookmarkStart w:id="7" w:name="O_923327"/>
      <w:bookmarkEnd w:id="7"/>
      <w:r w:rsidRPr="00B339F8">
        <w:t>Foundation Skills</w:t>
      </w:r>
    </w:p>
    <w:p w:rsidR="00000000" w:rsidRPr="00B339F8" w:rsidP="00B339F8">
      <w:pPr>
        <w:pStyle w:val="BodyText"/>
      </w:pPr>
      <w:r w:rsidRPr="00B339F8">
        <w:t>This section describes those required skills (language, literacy and numeracy) that are essential to performance.</w:t>
      </w:r>
    </w:p>
    <w:p w:rsidR="00000000" w:rsidRPr="00B339F8" w:rsidP="00B339F8">
      <w:pPr>
        <w:pStyle w:val="BodyText"/>
      </w:pPr>
    </w:p>
    <w:p w:rsidR="00000000" w:rsidRPr="00B339F8" w:rsidP="00B339F8">
      <w:pPr>
        <w:pStyle w:val="BodyText"/>
      </w:pPr>
      <w:r w:rsidRPr="00B339F8">
        <w:t>Foundation skills essential to performance are explicit in the performance criteria of this unit of competency.</w:t>
      </w:r>
    </w:p>
    <w:p w:rsidR="00000000" w:rsidRPr="00B339F8" w:rsidP="00B339F8">
      <w:pPr>
        <w:pStyle w:val="AllowPageBreak"/>
      </w:pPr>
    </w:p>
    <w:p w:rsidR="00000000" w:rsidRPr="00B339F8" w:rsidP="00B339F8">
      <w:pPr>
        <w:pStyle w:val="Heading1"/>
      </w:pPr>
      <w:bookmarkStart w:id="8" w:name="O_923326"/>
      <w:bookmarkEnd w:id="8"/>
      <w:r w:rsidRPr="00B339F8">
        <w:t>Range of Con</w:t>
      </w:r>
      <w:r w:rsidRPr="00B339F8">
        <w:t>ditions</w:t>
      </w:r>
    </w:p>
    <w:tbl>
      <w:tblPr>
        <w:tblW w:w="0" w:type="auto"/>
        <w:tblLayout w:type="fixed"/>
        <w:tblCellMar>
          <w:left w:w="62" w:type="dxa"/>
          <w:right w:w="62" w:type="dxa"/>
        </w:tblCellMar>
        <w:tblLook w:val="0000"/>
      </w:tblPr>
      <w:tblGrid>
        <w:gridCol w:w="2233"/>
        <w:gridCol w:w="6839"/>
      </w:tblGrid>
      <w:tr w:rsidTr="00B339F8">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t>This field allows for different work environments and conditions that may affect performance. Essential operating conditions that may be present (depending on the work situation, needs of the candidate, accessibility of the item, and local industry</w:t>
            </w:r>
            <w:r w:rsidRPr="00B339F8">
              <w:t xml:space="preserve"> and regional contexts) are included.</w:t>
            </w:r>
          </w:p>
        </w:tc>
      </w:tr>
      <w:tr w:rsidTr="00B339F8">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rPr>
                <w:rStyle w:val="SpecialBold"/>
              </w:rPr>
              <w:t>Sustainability incorporates all of</w:t>
            </w:r>
          </w:p>
        </w:tc>
        <w:tc>
          <w:tcPr>
            <w:tcW w:w="6839" w:type="dxa"/>
            <w:tcBorders>
              <w:top w:val="nil"/>
              <w:left w:val="nil"/>
              <w:bottom w:val="nil"/>
              <w:right w:val="nil"/>
            </w:tcBorders>
            <w:tcMar>
              <w:top w:w="0" w:type="dxa"/>
              <w:left w:w="62" w:type="dxa"/>
              <w:bottom w:w="0" w:type="dxa"/>
              <w:right w:w="62" w:type="dxa"/>
            </w:tcMar>
          </w:tcPr>
          <w:p w:rsidR="00000000" w:rsidRPr="00B339F8" w:rsidP="00B339F8">
            <w:pPr>
              <w:pStyle w:val="ListBullet"/>
            </w:pPr>
            <w:r w:rsidRPr="00B339F8">
              <w:t>survival of the ecology/physical environment (to manage the impact of the business to ensure the survival of the physical environment)</w:t>
            </w:r>
          </w:p>
          <w:p w:rsidR="00000000" w:rsidRPr="00B339F8" w:rsidP="00B339F8">
            <w:pPr>
              <w:pStyle w:val="ListBullet"/>
            </w:pPr>
            <w:r w:rsidRPr="00B339F8">
              <w:t>economic viability (efficienc</w:t>
            </w:r>
            <w:r w:rsidRPr="00B339F8">
              <w:t>y, cost and waste reduction and competitiveness to support survival of the business)</w:t>
            </w:r>
          </w:p>
          <w:p w:rsidR="00000000" w:rsidRPr="00B339F8" w:rsidP="00B339F8">
            <w:pPr>
              <w:pStyle w:val="ListBullet"/>
            </w:pPr>
            <w:r w:rsidRPr="00B339F8">
              <w:t>social sustainability (to manage the impact of the business to ensure its continued survival within the community and the survival of the community).</w:t>
            </w:r>
          </w:p>
          <w:p w:rsidR="00000000" w:rsidP="00B339F8">
            <w:pPr>
              <w:pStyle w:val="BodyText"/>
              <w:rPr>
                <w:lang w:val="en-NZ"/>
              </w:rPr>
            </w:pPr>
          </w:p>
        </w:tc>
      </w:tr>
      <w:tr w:rsidTr="00B339F8">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rPr>
                <w:rStyle w:val="SpecialBold"/>
              </w:rPr>
              <w:t>Factors external to</w:t>
            </w:r>
            <w:r w:rsidRPr="00B339F8">
              <w:rPr>
                <w:rStyle w:val="SpecialBold"/>
              </w:rPr>
              <w:t xml:space="preserve"> the organisation include one or more of </w:t>
            </w:r>
          </w:p>
        </w:tc>
        <w:tc>
          <w:tcPr>
            <w:tcW w:w="6839" w:type="dxa"/>
            <w:tcBorders>
              <w:top w:val="nil"/>
              <w:left w:val="nil"/>
              <w:bottom w:val="nil"/>
              <w:right w:val="nil"/>
            </w:tcBorders>
            <w:tcMar>
              <w:top w:w="0" w:type="dxa"/>
              <w:left w:w="62" w:type="dxa"/>
              <w:bottom w:w="0" w:type="dxa"/>
              <w:right w:w="62" w:type="dxa"/>
            </w:tcMar>
          </w:tcPr>
          <w:p w:rsidR="00000000" w:rsidRPr="00B339F8" w:rsidP="00B339F8">
            <w:pPr>
              <w:pStyle w:val="ListBullet"/>
            </w:pPr>
            <w:r w:rsidRPr="00B339F8">
              <w:t>government (at any level) legislation or regulation</w:t>
            </w:r>
          </w:p>
          <w:p w:rsidR="00000000" w:rsidRPr="00B339F8" w:rsidP="00B339F8">
            <w:pPr>
              <w:pStyle w:val="ListBullet"/>
            </w:pPr>
            <w:r w:rsidRPr="00B339F8">
              <w:t>government (at any level) direct action programs or similar</w:t>
            </w:r>
          </w:p>
          <w:p w:rsidR="00000000" w:rsidRPr="00B339F8" w:rsidP="00B339F8">
            <w:pPr>
              <w:pStyle w:val="ListBullet"/>
            </w:pPr>
            <w:r w:rsidRPr="00B339F8">
              <w:t>government (at any level) incentives or similar</w:t>
            </w:r>
          </w:p>
          <w:p w:rsidR="00000000" w:rsidRPr="00B339F8" w:rsidP="00B339F8">
            <w:pPr>
              <w:pStyle w:val="ListBullet"/>
            </w:pPr>
            <w:r w:rsidRPr="00B339F8">
              <w:t>customer expectations</w:t>
            </w:r>
          </w:p>
          <w:p w:rsidR="00000000" w:rsidRPr="00B339F8" w:rsidP="00B339F8">
            <w:pPr>
              <w:pStyle w:val="ListBullet"/>
            </w:pPr>
            <w:r w:rsidRPr="00B339F8">
              <w:t>community expectations</w:t>
            </w:r>
          </w:p>
          <w:p w:rsidR="00000000" w:rsidRPr="00B339F8" w:rsidP="00B339F8">
            <w:pPr>
              <w:pStyle w:val="ListBullet"/>
            </w:pPr>
            <w:r w:rsidRPr="00B339F8">
              <w:t>market trends</w:t>
            </w:r>
          </w:p>
          <w:p w:rsidR="00000000" w:rsidRPr="00B339F8" w:rsidP="00B339F8">
            <w:pPr>
              <w:pStyle w:val="ListBullet"/>
            </w:pPr>
            <w:r w:rsidRPr="00B339F8">
              <w:t>competitor actions</w:t>
            </w:r>
          </w:p>
          <w:p w:rsidR="00000000" w:rsidRPr="00B339F8" w:rsidP="00B339F8">
            <w:pPr>
              <w:pStyle w:val="ListBullet"/>
            </w:pPr>
            <w:r w:rsidRPr="00B339F8">
              <w:t>other factors.</w:t>
            </w:r>
          </w:p>
          <w:p w:rsidR="00000000" w:rsidP="00B339F8">
            <w:pPr>
              <w:pStyle w:val="BodyText"/>
              <w:rPr>
                <w:lang w:val="en-NZ"/>
              </w:rPr>
            </w:pPr>
          </w:p>
        </w:tc>
      </w:tr>
      <w:tr w:rsidTr="00B339F8">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rPr>
                <w:rStyle w:val="SpecialBold"/>
              </w:rPr>
              <w:t>Sustainability issues of particular relevance include one or more of</w:t>
            </w:r>
          </w:p>
        </w:tc>
        <w:tc>
          <w:tcPr>
            <w:tcW w:w="6839" w:type="dxa"/>
            <w:tcBorders>
              <w:top w:val="nil"/>
              <w:left w:val="nil"/>
              <w:bottom w:val="nil"/>
              <w:right w:val="nil"/>
            </w:tcBorders>
            <w:tcMar>
              <w:top w:w="0" w:type="dxa"/>
              <w:left w:w="62" w:type="dxa"/>
              <w:bottom w:w="0" w:type="dxa"/>
              <w:right w:w="62" w:type="dxa"/>
            </w:tcMar>
          </w:tcPr>
          <w:p w:rsidR="00000000" w:rsidRPr="00B339F8" w:rsidP="00B339F8">
            <w:pPr>
              <w:pStyle w:val="ListBullet"/>
            </w:pPr>
            <w:r w:rsidRPr="00B339F8">
              <w:t>particular sensitivities of the local ecology (e.g. endangered species, sensitive local flora/fauna, material scarcity, water availabili</w:t>
            </w:r>
            <w:r w:rsidRPr="00B339F8">
              <w:t>ty)</w:t>
            </w:r>
          </w:p>
          <w:p w:rsidR="00000000" w:rsidRPr="00B339F8" w:rsidP="00B339F8">
            <w:pPr>
              <w:pStyle w:val="ListBullet"/>
            </w:pPr>
            <w:r w:rsidRPr="00B339F8">
              <w:t>general ecology issues and regulations (e.g. climate change and carbon footprint, pollution control measures)</w:t>
            </w:r>
          </w:p>
          <w:p w:rsidR="00000000" w:rsidRPr="00B339F8" w:rsidP="00B339F8">
            <w:pPr>
              <w:pStyle w:val="ListBullet"/>
            </w:pPr>
            <w:r w:rsidRPr="00B339F8">
              <w:t>particular local social issues (e.g. distortions to the housing market, disruption to local lifestyles)</w:t>
            </w:r>
          </w:p>
          <w:p w:rsidR="00000000" w:rsidRPr="00B339F8" w:rsidP="00B339F8">
            <w:pPr>
              <w:pStyle w:val="ListBullet"/>
            </w:pPr>
            <w:r w:rsidRPr="00B339F8">
              <w:t xml:space="preserve">general social issues (e.g. corporate </w:t>
            </w:r>
            <w:r w:rsidRPr="00B339F8">
              <w:t>citizenship, use or/deterioration to infrastructure)</w:t>
            </w:r>
          </w:p>
          <w:p w:rsidR="00000000" w:rsidRPr="00B339F8" w:rsidP="00B339F8">
            <w:pPr>
              <w:pStyle w:val="ListBullet"/>
            </w:pPr>
            <w:r w:rsidRPr="00B339F8">
              <w:t>particular local economic issues (e.g. cost of capital, profit margins, competition)</w:t>
            </w:r>
          </w:p>
          <w:p w:rsidR="00000000" w:rsidRPr="00B339F8" w:rsidP="00B339F8">
            <w:pPr>
              <w:pStyle w:val="ListBullet"/>
            </w:pPr>
            <w:r w:rsidRPr="00B339F8">
              <w:t>general economic issues (e.g. state of the economy, stage of the business cycle).</w:t>
            </w:r>
          </w:p>
          <w:p w:rsidR="00000000" w:rsidP="00B339F8">
            <w:pPr>
              <w:pStyle w:val="BodyText"/>
              <w:rPr>
                <w:lang w:val="en-NZ"/>
              </w:rPr>
            </w:pPr>
          </w:p>
        </w:tc>
      </w:tr>
      <w:tr w:rsidTr="00B339F8">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rPr>
                <w:rStyle w:val="SpecialBold"/>
              </w:rPr>
              <w:t>Significance of impact includes one or more of</w:t>
            </w:r>
          </w:p>
        </w:tc>
        <w:tc>
          <w:tcPr>
            <w:tcW w:w="6839" w:type="dxa"/>
            <w:tcBorders>
              <w:top w:val="nil"/>
              <w:left w:val="nil"/>
              <w:bottom w:val="nil"/>
              <w:right w:val="nil"/>
            </w:tcBorders>
            <w:tcMar>
              <w:top w:w="0" w:type="dxa"/>
              <w:left w:w="62" w:type="dxa"/>
              <w:bottom w:w="0" w:type="dxa"/>
              <w:right w:w="62" w:type="dxa"/>
            </w:tcMar>
          </w:tcPr>
          <w:p w:rsidR="00000000" w:rsidRPr="00B339F8" w:rsidP="00B339F8">
            <w:pPr>
              <w:pStyle w:val="ListBullet"/>
            </w:pPr>
            <w:r w:rsidRPr="00B339F8">
              <w:t>permanent loss or degradation</w:t>
            </w:r>
          </w:p>
          <w:p w:rsidR="00000000" w:rsidRPr="00B339F8" w:rsidP="00B339F8">
            <w:pPr>
              <w:pStyle w:val="ListBullet"/>
            </w:pPr>
            <w:r w:rsidRPr="00B339F8">
              <w:t>loss or degradation which inhibits use by the following generation</w:t>
            </w:r>
          </w:p>
          <w:p w:rsidR="00000000" w:rsidRPr="00B339F8" w:rsidP="00B339F8">
            <w:pPr>
              <w:pStyle w:val="ListBullet"/>
            </w:pPr>
            <w:r w:rsidRPr="00B339F8">
              <w:t>temporary degradation requiring remediation</w:t>
            </w:r>
          </w:p>
          <w:p w:rsidR="00000000" w:rsidRPr="00B339F8" w:rsidP="00B339F8">
            <w:pPr>
              <w:pStyle w:val="ListBullet"/>
            </w:pPr>
            <w:r w:rsidRPr="00B339F8">
              <w:t>temporary degradation which is self-remediating</w:t>
            </w:r>
          </w:p>
          <w:p w:rsidR="00000000" w:rsidRPr="00B339F8" w:rsidP="00B339F8">
            <w:pPr>
              <w:pStyle w:val="ListBullet"/>
            </w:pPr>
            <w:r w:rsidRPr="00B339F8">
              <w:t>speed of change/deg</w:t>
            </w:r>
            <w:r w:rsidRPr="00B339F8">
              <w:t>radation/loss.</w:t>
            </w:r>
          </w:p>
          <w:p w:rsidR="00000000" w:rsidP="00B339F8">
            <w:pPr>
              <w:pStyle w:val="BodyText"/>
              <w:rPr>
                <w:lang w:val="en-NZ"/>
              </w:rPr>
            </w:pPr>
          </w:p>
        </w:tc>
      </w:tr>
      <w:tr w:rsidTr="00B339F8">
        <w:tblPrEx>
          <w:tblW w:w="0" w:type="auto"/>
          <w:tblLayout w:type="fixed"/>
          <w:tblCellMar>
            <w:left w:w="62" w:type="dxa"/>
            <w:right w:w="62" w:type="dxa"/>
          </w:tblCellMar>
          <w:tblLook w:val="0000"/>
        </w:tblPrEx>
        <w:tc>
          <w:tcPr>
            <w:tcW w:w="2233" w:type="dxa"/>
            <w:tcBorders>
              <w:top w:val="nil"/>
              <w:left w:val="nil"/>
              <w:bottom w:val="nil"/>
              <w:right w:val="nil"/>
            </w:tcBorders>
            <w:tcMar>
              <w:top w:w="0" w:type="dxa"/>
              <w:left w:w="62" w:type="dxa"/>
              <w:bottom w:w="0" w:type="dxa"/>
              <w:right w:w="62" w:type="dxa"/>
            </w:tcMar>
          </w:tcPr>
          <w:p w:rsidR="00000000" w:rsidP="00B339F8">
            <w:pPr>
              <w:pStyle w:val="BodyText"/>
              <w:rPr>
                <w:lang w:val="en-NZ"/>
              </w:rPr>
            </w:pPr>
            <w:r w:rsidRPr="00B339F8">
              <w:rPr>
                <w:rStyle w:val="SpecialBold"/>
              </w:rPr>
              <w:t>Sustainability impacts which cannot be prevented require mitigation and amelioration techniques which include one or more of</w:t>
            </w:r>
          </w:p>
        </w:tc>
        <w:tc>
          <w:tcPr>
            <w:tcW w:w="6839" w:type="dxa"/>
            <w:tcBorders>
              <w:top w:val="nil"/>
              <w:left w:val="nil"/>
              <w:bottom w:val="nil"/>
              <w:right w:val="nil"/>
            </w:tcBorders>
            <w:tcMar>
              <w:top w:w="0" w:type="dxa"/>
              <w:left w:w="62" w:type="dxa"/>
              <w:bottom w:w="0" w:type="dxa"/>
              <w:right w:w="62" w:type="dxa"/>
            </w:tcMar>
          </w:tcPr>
          <w:p w:rsidR="00000000" w:rsidRPr="00B339F8" w:rsidP="00B339F8">
            <w:pPr>
              <w:pStyle w:val="ListBullet"/>
            </w:pPr>
            <w:r w:rsidRPr="00B339F8">
              <w:t>capture and storage (e.g. scrubbing) and similar ‘end of pipe’ solutions</w:t>
            </w:r>
          </w:p>
          <w:p w:rsidR="00000000" w:rsidRPr="00B339F8" w:rsidP="00B339F8">
            <w:pPr>
              <w:pStyle w:val="ListBullet"/>
            </w:pPr>
            <w:r w:rsidRPr="00B339F8">
              <w:t>dilution/dispersion and similar techniqu</w:t>
            </w:r>
            <w:r w:rsidRPr="00B339F8">
              <w:t>es which reduce concentration but not amount</w:t>
            </w:r>
          </w:p>
          <w:p w:rsidR="00000000" w:rsidRPr="00B339F8" w:rsidP="00B339F8">
            <w:pPr>
              <w:pStyle w:val="ListBullet"/>
            </w:pPr>
            <w:r w:rsidRPr="00B339F8">
              <w:t>other approaches which meet the sustainability requirements.</w:t>
            </w:r>
          </w:p>
          <w:p w:rsidR="00000000" w:rsidRPr="00B339F8" w:rsidP="00B339F8">
            <w:pPr>
              <w:pStyle w:val="BodyText"/>
            </w:pPr>
          </w:p>
        </w:tc>
      </w:tr>
    </w:tbl>
    <w:p w:rsidR="00000000" w:rsidRPr="00B339F8" w:rsidP="00B339F8">
      <w:pPr>
        <w:pStyle w:val="BodyText"/>
      </w:pPr>
    </w:p>
    <w:p w:rsidR="00000000" w:rsidRPr="00B339F8" w:rsidP="00B339F8">
      <w:pPr>
        <w:pStyle w:val="AllowPageBreak"/>
      </w:pPr>
    </w:p>
    <w:p w:rsidR="00000000" w:rsidRPr="00B339F8" w:rsidP="00B339F8">
      <w:pPr>
        <w:pStyle w:val="Heading1"/>
      </w:pPr>
      <w:bookmarkStart w:id="9" w:name="O_923325"/>
      <w:bookmarkEnd w:id="9"/>
      <w:r w:rsidRPr="00B339F8">
        <w:t>Unit Mapping Information</w:t>
      </w:r>
    </w:p>
    <w:p w:rsidR="00000000" w:rsidRPr="00B339F8" w:rsidP="00B339F8">
      <w:pPr>
        <w:pStyle w:val="BodyText"/>
      </w:pPr>
      <w:r w:rsidRPr="00B339F8">
        <w:t>Release 1. Supersedes and is equivalent to MSS017003A Identify and respond to external sustainabil</w:t>
      </w:r>
      <w:r w:rsidRPr="00B339F8">
        <w:t xml:space="preserve">ity factors for an organisation. </w:t>
      </w:r>
    </w:p>
    <w:p w:rsidR="00000000" w:rsidRPr="00B339F8" w:rsidP="00B339F8">
      <w:pPr>
        <w:pStyle w:val="AllowPageBreak"/>
      </w:pPr>
    </w:p>
    <w:p w:rsidR="00000000" w:rsidRPr="00B339F8" w:rsidP="00B339F8">
      <w:pPr>
        <w:pStyle w:val="Heading1"/>
      </w:pPr>
      <w:bookmarkStart w:id="10" w:name="O_923318"/>
      <w:bookmarkEnd w:id="10"/>
      <w:r w:rsidRPr="00B339F8">
        <w:t>Links</w:t>
      </w:r>
    </w:p>
    <w:p w:rsidR="00000000" w:rsidRPr="00B339F8" w:rsidP="00B339F8">
      <w:pPr>
        <w:pStyle w:val="BodyText"/>
      </w:pPr>
      <w:r w:rsidRPr="00B339F8">
        <w:t>MSA Training Package Implementation Guides - http://mskills.org.au/training-packages/info/</w:t>
      </w:r>
    </w:p>
    <w:p w:rsidR="00000000" w:rsidRPr="00B339F8" w:rsidP="00B339F8"/>
    <w:sectPr w:rsidSect="00B339F8">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F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F8" w:rsidRPr="0028550A" w:rsidP="0028550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F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0A" w:rsidP="00B339F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28550A" w:rsidP="00B339F8">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28550A" w:rsidP="00B339F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F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F8" w:rsidRPr="0028550A" w:rsidP="0028550A">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339F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550A" w:rsidRPr="002D2AF8" w:rsidP="00B339F8">
    <w:pPr>
      <w:pStyle w:val="Header"/>
      <w:framePr w:wrap="around"/>
    </w:pPr>
    <w:r>
      <w:fldChar w:fldCharType="begin"/>
    </w:r>
    <w:r>
      <w:instrText xml:space="preserve"> TITLE   \* MERGEFORMAT </w:instrText>
    </w:r>
    <w:r>
      <w:fldChar w:fldCharType="separate"/>
    </w:r>
    <w:r>
      <w:t>MSS017003 Identify and respond to external sustainability factors for an organisation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22 June 2016</w:t>
    </w:r>
    <w:r>
      <w:fldChar w:fldCharType="end"/>
    </w:r>
  </w:p>
  <w:p w:rsidR="0028550A" w:rsidP="00B339F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F34292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9B3E03F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339F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339F8"/>
    <w:pPr>
      <w:spacing w:before="360" w:after="60"/>
      <w:outlineLvl w:val="0"/>
    </w:pPr>
    <w:rPr>
      <w:sz w:val="32"/>
    </w:rPr>
  </w:style>
  <w:style w:type="paragraph" w:styleId="Heading2">
    <w:name w:val="heading 2"/>
    <w:basedOn w:val="HeadingBase"/>
    <w:next w:val="BodyText"/>
    <w:link w:val="Heading2Char"/>
    <w:qFormat/>
    <w:rsid w:val="00B339F8"/>
    <w:pPr>
      <w:keepLines/>
      <w:spacing w:before="240" w:after="120"/>
      <w:outlineLvl w:val="1"/>
    </w:pPr>
    <w:rPr>
      <w:sz w:val="28"/>
      <w:szCs w:val="40"/>
    </w:rPr>
  </w:style>
  <w:style w:type="paragraph" w:styleId="Heading3">
    <w:name w:val="heading 3"/>
    <w:basedOn w:val="HeadingBase"/>
    <w:next w:val="BodyText"/>
    <w:link w:val="Heading3Char"/>
    <w:qFormat/>
    <w:rsid w:val="00B339F8"/>
    <w:pPr>
      <w:spacing w:before="180" w:after="120"/>
      <w:outlineLvl w:val="2"/>
    </w:pPr>
    <w:rPr>
      <w:spacing w:val="-10"/>
      <w:kern w:val="32"/>
    </w:rPr>
  </w:style>
  <w:style w:type="paragraph" w:styleId="Heading4">
    <w:name w:val="heading 4"/>
    <w:basedOn w:val="HeadingBase"/>
    <w:next w:val="BodyText"/>
    <w:link w:val="Heading4Char"/>
    <w:qFormat/>
    <w:rsid w:val="00B339F8"/>
    <w:pPr>
      <w:spacing w:before="160" w:after="120"/>
      <w:outlineLvl w:val="3"/>
    </w:pPr>
    <w:rPr>
      <w:sz w:val="22"/>
    </w:rPr>
  </w:style>
  <w:style w:type="paragraph" w:styleId="Heading5">
    <w:name w:val="heading 5"/>
    <w:basedOn w:val="HeadingBase"/>
    <w:next w:val="Normal"/>
    <w:link w:val="Heading5Char"/>
    <w:qFormat/>
    <w:rsid w:val="00B339F8"/>
    <w:pPr>
      <w:spacing w:before="80"/>
      <w:outlineLvl w:val="4"/>
    </w:pPr>
    <w:rPr>
      <w:color w:val="918585"/>
      <w:sz w:val="20"/>
    </w:rPr>
  </w:style>
  <w:style w:type="paragraph" w:styleId="Heading6">
    <w:name w:val="heading 6"/>
    <w:basedOn w:val="HeadingBase"/>
    <w:next w:val="Normal"/>
    <w:link w:val="Heading6Char"/>
    <w:qFormat/>
    <w:rsid w:val="00B339F8"/>
    <w:pPr>
      <w:spacing w:before="60"/>
      <w:outlineLvl w:val="5"/>
    </w:pPr>
    <w:rPr>
      <w:color w:val="918585"/>
      <w:sz w:val="20"/>
    </w:rPr>
  </w:style>
  <w:style w:type="paragraph" w:styleId="Heading7">
    <w:name w:val="heading 7"/>
    <w:basedOn w:val="Normal"/>
    <w:next w:val="Normal"/>
    <w:link w:val="Heading7Char"/>
    <w:qFormat/>
    <w:rsid w:val="00B339F8"/>
    <w:pPr>
      <w:ind w:left="720"/>
      <w:outlineLvl w:val="6"/>
    </w:pPr>
    <w:rPr>
      <w:i/>
    </w:rPr>
  </w:style>
  <w:style w:type="paragraph" w:styleId="Heading8">
    <w:name w:val="heading 8"/>
    <w:basedOn w:val="Normal"/>
    <w:next w:val="Normal"/>
    <w:link w:val="Heading8Char"/>
    <w:qFormat/>
    <w:rsid w:val="00B339F8"/>
    <w:pPr>
      <w:ind w:left="720"/>
      <w:outlineLvl w:val="7"/>
    </w:pPr>
    <w:rPr>
      <w:i/>
    </w:rPr>
  </w:style>
  <w:style w:type="paragraph" w:styleId="Heading9">
    <w:name w:val="heading 9"/>
    <w:basedOn w:val="Normal"/>
    <w:next w:val="Normal"/>
    <w:link w:val="Heading9Char"/>
    <w:qFormat/>
    <w:rsid w:val="00B339F8"/>
    <w:pPr>
      <w:ind w:left="720"/>
      <w:outlineLvl w:val="8"/>
    </w:pPr>
    <w:rPr>
      <w:i/>
    </w:rPr>
  </w:style>
  <w:style w:type="character" w:default="1" w:styleId="DefaultParagraphFont">
    <w:name w:val="Default Paragraph Font"/>
    <w:uiPriority w:val="1"/>
    <w:unhideWhenUsed/>
    <w:rsid w:val="00B339F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339F8"/>
  </w:style>
  <w:style w:type="character" w:customStyle="1" w:styleId="Heading1Char">
    <w:name w:val="Heading 1 Char"/>
    <w:basedOn w:val="DefaultParagraphFont"/>
    <w:link w:val="Heading1"/>
    <w:rsid w:val="00B339F8"/>
    <w:rPr>
      <w:rFonts w:ascii="Times New Roman" w:eastAsia="Times New Roman" w:hAnsi="Times New Roman" w:cs="Times New Roman"/>
      <w:b/>
      <w:sz w:val="32"/>
      <w:szCs w:val="20"/>
      <w:lang w:eastAsia="en-US"/>
    </w:rPr>
  </w:style>
  <w:style w:type="paragraph" w:styleId="BodyText">
    <w:name w:val="Body Text"/>
    <w:basedOn w:val="Normal"/>
    <w:link w:val="BodyTextChar"/>
    <w:rsid w:val="00B339F8"/>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B339F8"/>
    <w:rPr>
      <w:rFonts w:ascii="Times New Roman" w:eastAsia="Times New Roman" w:hAnsi="Times New Roman" w:cs="Times New Roman"/>
      <w:sz w:val="24"/>
      <w:lang w:eastAsia="en-US"/>
    </w:rPr>
  </w:style>
  <w:style w:type="paragraph" w:styleId="ListBullet">
    <w:name w:val="List Bullet"/>
    <w:basedOn w:val="List"/>
    <w:rsid w:val="00B339F8"/>
    <w:pPr>
      <w:numPr>
        <w:numId w:val="12"/>
      </w:numPr>
      <w:tabs>
        <w:tab w:val="clear" w:pos="340"/>
      </w:tabs>
      <w:spacing w:before="40" w:after="40"/>
    </w:pPr>
  </w:style>
  <w:style w:type="character" w:customStyle="1" w:styleId="SpecialBold">
    <w:name w:val="Special Bold"/>
    <w:basedOn w:val="DefaultParagraphFont"/>
    <w:rsid w:val="00B339F8"/>
    <w:rPr>
      <w:b/>
      <w:spacing w:val="0"/>
    </w:rPr>
  </w:style>
  <w:style w:type="paragraph" w:customStyle="1" w:styleId="SuperHeading">
    <w:name w:val="SuperHeading"/>
    <w:basedOn w:val="Normal"/>
    <w:rsid w:val="00B339F8"/>
    <w:pPr>
      <w:spacing w:before="240" w:after="120"/>
      <w:outlineLvl w:val="0"/>
    </w:pPr>
    <w:rPr>
      <w:rFonts w:ascii="Times New Roman" w:hAnsi="Times New Roman"/>
      <w:b/>
      <w:sz w:val="32"/>
    </w:rPr>
  </w:style>
  <w:style w:type="paragraph" w:customStyle="1" w:styleId="AllowPageBreak">
    <w:name w:val="AllowPageBreak"/>
    <w:rsid w:val="00B339F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B339F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339F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339F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339F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339F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339F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339F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339F8"/>
    <w:rPr>
      <w:rFonts w:ascii="Courier New" w:eastAsia="Times New Roman" w:hAnsi="Courier New" w:cs="Times New Roman"/>
      <w:i/>
      <w:szCs w:val="20"/>
      <w:lang w:eastAsia="en-US"/>
    </w:rPr>
  </w:style>
  <w:style w:type="paragraph" w:customStyle="1" w:styleId="HeadingBase">
    <w:name w:val="Heading Base"/>
    <w:rsid w:val="00B339F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339F8"/>
    <w:pPr>
      <w:tabs>
        <w:tab w:val="right" w:leader="dot" w:pos="9072"/>
      </w:tabs>
      <w:ind w:left="567"/>
    </w:pPr>
    <w:rPr>
      <w:szCs w:val="22"/>
    </w:rPr>
  </w:style>
  <w:style w:type="paragraph" w:customStyle="1" w:styleId="TOCBase">
    <w:name w:val="TOC Base"/>
    <w:rsid w:val="00B339F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339F8"/>
    <w:pPr>
      <w:tabs>
        <w:tab w:val="right" w:leader="dot" w:pos="9072"/>
      </w:tabs>
      <w:spacing w:before="40" w:after="40"/>
      <w:ind w:left="284"/>
    </w:pPr>
    <w:rPr>
      <w:rFonts w:ascii="Times New Roman" w:hAnsi="Times New Roman"/>
    </w:rPr>
  </w:style>
  <w:style w:type="paragraph" w:styleId="TOC1">
    <w:name w:val="toc 1"/>
    <w:basedOn w:val="TOCBase"/>
    <w:next w:val="Normal"/>
    <w:rsid w:val="00B339F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339F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339F8"/>
    <w:rPr>
      <w:rFonts w:ascii="Times New Roman" w:eastAsia="Times New Roman" w:hAnsi="Times New Roman" w:cs="Times New Roman"/>
      <w:sz w:val="16"/>
      <w:lang w:eastAsia="en-US"/>
    </w:rPr>
  </w:style>
  <w:style w:type="paragraph" w:styleId="Title">
    <w:name w:val="Title"/>
    <w:basedOn w:val="HeadingBase"/>
    <w:link w:val="TitleChar"/>
    <w:qFormat/>
    <w:rsid w:val="00B339F8"/>
    <w:pPr>
      <w:spacing w:before="5040"/>
      <w:jc w:val="center"/>
    </w:pPr>
    <w:rPr>
      <w:sz w:val="48"/>
      <w:szCs w:val="72"/>
      <w:lang w:val="en-US"/>
    </w:rPr>
  </w:style>
  <w:style w:type="character" w:customStyle="1" w:styleId="TitleChar">
    <w:name w:val="Title Char"/>
    <w:basedOn w:val="DefaultParagraphFont"/>
    <w:link w:val="Title"/>
    <w:rsid w:val="00B339F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339F8"/>
    <w:pPr>
      <w:tabs>
        <w:tab w:val="left" w:pos="3600"/>
        <w:tab w:val="left" w:pos="3958"/>
      </w:tabs>
    </w:pPr>
  </w:style>
  <w:style w:type="paragraph" w:styleId="List">
    <w:name w:val="List"/>
    <w:basedOn w:val="BodyText"/>
    <w:next w:val="BodyText"/>
    <w:rsid w:val="00B339F8"/>
    <w:pPr>
      <w:tabs>
        <w:tab w:val="left" w:pos="340"/>
      </w:tabs>
      <w:spacing w:before="60" w:after="60"/>
      <w:ind w:left="340" w:hanging="340"/>
    </w:pPr>
  </w:style>
  <w:style w:type="paragraph" w:customStyle="1" w:styleId="Note">
    <w:name w:val="Note"/>
    <w:basedOn w:val="BodyText"/>
    <w:rsid w:val="00B339F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339F8"/>
    <w:pPr>
      <w:framePr w:wrap="auto" w:hAnchor="text" w:y="6049"/>
    </w:pPr>
    <w:rPr>
      <w:color w:val="000000"/>
      <w:sz w:val="40"/>
    </w:rPr>
  </w:style>
  <w:style w:type="paragraph" w:customStyle="1" w:styleId="TOCTitle">
    <w:name w:val="TOCTitle"/>
    <w:basedOn w:val="Heading1"/>
    <w:rsid w:val="00B339F8"/>
    <w:pPr>
      <w:spacing w:after="240"/>
      <w:jc w:val="center"/>
      <w:outlineLvl w:val="9"/>
    </w:pPr>
    <w:rPr>
      <w:caps/>
    </w:rPr>
  </w:style>
  <w:style w:type="paragraph" w:customStyle="1" w:styleId="Version">
    <w:name w:val="Version"/>
    <w:rsid w:val="00B339F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339F8"/>
    <w:pPr>
      <w:numPr>
        <w:numId w:val="13"/>
      </w:numPr>
      <w:tabs>
        <w:tab w:val="clear" w:pos="680"/>
      </w:tabs>
    </w:pPr>
  </w:style>
  <w:style w:type="paragraph" w:styleId="Index1">
    <w:name w:val="index 1"/>
    <w:basedOn w:val="Normal"/>
    <w:next w:val="Normal"/>
    <w:semiHidden/>
    <w:rsid w:val="00B339F8"/>
    <w:pPr>
      <w:keepNext w:val="0"/>
      <w:tabs>
        <w:tab w:val="right" w:pos="4176"/>
      </w:tabs>
      <w:ind w:left="198" w:hanging="198"/>
    </w:pPr>
    <w:rPr>
      <w:rFonts w:ascii="Garamond" w:hAnsi="Garamond"/>
    </w:rPr>
  </w:style>
  <w:style w:type="paragraph" w:styleId="IndexHeading">
    <w:name w:val="index heading"/>
    <w:basedOn w:val="Normal"/>
    <w:next w:val="Index1"/>
    <w:semiHidden/>
    <w:rsid w:val="00B339F8"/>
    <w:pPr>
      <w:spacing w:before="120" w:after="120"/>
    </w:pPr>
    <w:rPr>
      <w:rFonts w:ascii="Arial" w:hAnsi="Arial"/>
      <w:b/>
      <w:color w:val="918585"/>
      <w:sz w:val="24"/>
    </w:rPr>
  </w:style>
  <w:style w:type="paragraph" w:styleId="Header">
    <w:name w:val="header"/>
    <w:basedOn w:val="Normal"/>
    <w:link w:val="HeaderChar"/>
    <w:rsid w:val="00B339F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339F8"/>
    <w:rPr>
      <w:rFonts w:ascii="Times New Roman" w:eastAsia="Times New Roman" w:hAnsi="Times New Roman" w:cs="Times New Roman"/>
      <w:sz w:val="16"/>
      <w:szCs w:val="20"/>
      <w:lang w:val="en-GB" w:eastAsia="en-US"/>
    </w:rPr>
  </w:style>
  <w:style w:type="paragraph" w:customStyle="1" w:styleId="Chapter">
    <w:name w:val="Chapter"/>
    <w:basedOn w:val="Normal"/>
    <w:rsid w:val="00B339F8"/>
    <w:pPr>
      <w:spacing w:before="240"/>
    </w:pPr>
    <w:rPr>
      <w:rFonts w:ascii="Times New Roman" w:hAnsi="Times New Roman"/>
      <w:smallCaps/>
      <w:spacing w:val="80"/>
      <w:sz w:val="28"/>
    </w:rPr>
  </w:style>
  <w:style w:type="paragraph" w:customStyle="1" w:styleId="InChapter">
    <w:name w:val="InChapter"/>
    <w:basedOn w:val="Heading3"/>
    <w:rsid w:val="00B339F8"/>
    <w:pPr>
      <w:spacing w:after="240"/>
      <w:outlineLvl w:val="9"/>
    </w:pPr>
    <w:rPr>
      <w:noProof/>
    </w:rPr>
  </w:style>
  <w:style w:type="paragraph" w:styleId="Index2">
    <w:name w:val="index 2"/>
    <w:basedOn w:val="Normal"/>
    <w:next w:val="Normal"/>
    <w:semiHidden/>
    <w:rsid w:val="00B339F8"/>
    <w:pPr>
      <w:tabs>
        <w:tab w:val="right" w:pos="4176"/>
      </w:tabs>
      <w:ind w:left="568" w:hanging="284"/>
    </w:pPr>
    <w:rPr>
      <w:rFonts w:ascii="Garamond" w:hAnsi="Garamond"/>
    </w:rPr>
  </w:style>
  <w:style w:type="paragraph" w:customStyle="1" w:styleId="Byline">
    <w:name w:val="Byline"/>
    <w:rsid w:val="00B339F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339F8"/>
    <w:pPr>
      <w:tabs>
        <w:tab w:val="clear" w:pos="3600"/>
        <w:tab w:val="clear" w:pos="3958"/>
      </w:tabs>
      <w:jc w:val="right"/>
    </w:pPr>
  </w:style>
  <w:style w:type="character" w:styleId="Emphasis">
    <w:name w:val="Emphasis"/>
    <w:basedOn w:val="DefaultParagraphFont"/>
    <w:qFormat/>
    <w:rsid w:val="00B339F8"/>
    <w:rPr>
      <w:i/>
    </w:rPr>
  </w:style>
  <w:style w:type="paragraph" w:styleId="Caption">
    <w:name w:val="caption"/>
    <w:basedOn w:val="BodyText"/>
    <w:next w:val="Normal"/>
    <w:qFormat/>
    <w:rsid w:val="00B339F8"/>
    <w:pPr>
      <w:framePr w:w="2268" w:hSpace="181" w:vSpace="181" w:wrap="around" w:vAnchor="text" w:hAnchor="page" w:x="1135" w:y="285" w:anchorLock="1"/>
    </w:pPr>
    <w:rPr>
      <w:i/>
    </w:rPr>
  </w:style>
  <w:style w:type="paragraph" w:customStyle="1" w:styleId="MiniTOCTitle">
    <w:name w:val="MiniTOCTitle"/>
    <w:basedOn w:val="Heading4"/>
    <w:rsid w:val="00B339F8"/>
    <w:pPr>
      <w:spacing w:before="240"/>
      <w:outlineLvl w:val="9"/>
    </w:pPr>
    <w:rPr>
      <w:noProof/>
      <w:sz w:val="24"/>
    </w:rPr>
  </w:style>
  <w:style w:type="paragraph" w:customStyle="1" w:styleId="MiniTOCItem">
    <w:name w:val="MiniTOCItem"/>
    <w:basedOn w:val="ListBullet"/>
    <w:rsid w:val="00B339F8"/>
    <w:pPr>
      <w:numPr>
        <w:numId w:val="0"/>
      </w:numPr>
      <w:tabs>
        <w:tab w:val="right" w:leader="dot" w:pos="6521"/>
      </w:tabs>
      <w:spacing w:before="0" w:after="0"/>
    </w:pPr>
  </w:style>
  <w:style w:type="paragraph" w:customStyle="1" w:styleId="TOFTitle">
    <w:name w:val="TOFTitle"/>
    <w:basedOn w:val="TOCTitle"/>
    <w:rsid w:val="00B339F8"/>
  </w:style>
  <w:style w:type="paragraph" w:styleId="TableofFigures">
    <w:name w:val="table of figures"/>
    <w:basedOn w:val="Normal"/>
    <w:next w:val="Normal"/>
    <w:semiHidden/>
    <w:rsid w:val="00B339F8"/>
    <w:pPr>
      <w:tabs>
        <w:tab w:val="right" w:leader="dot" w:pos="9072"/>
      </w:tabs>
      <w:ind w:left="970" w:hanging="403"/>
    </w:pPr>
    <w:rPr>
      <w:rFonts w:ascii="Times New Roman" w:hAnsi="Times New Roman"/>
      <w:b/>
    </w:rPr>
  </w:style>
  <w:style w:type="paragraph" w:styleId="ListNumber">
    <w:name w:val="List Number"/>
    <w:basedOn w:val="List"/>
    <w:rsid w:val="00B339F8"/>
    <w:pPr>
      <w:numPr>
        <w:numId w:val="10"/>
      </w:numPr>
    </w:pPr>
  </w:style>
  <w:style w:type="character" w:customStyle="1" w:styleId="WingdingSymbols">
    <w:name w:val="Wingding Symbols"/>
    <w:rsid w:val="00B339F8"/>
    <w:rPr>
      <w:rFonts w:ascii="Wingdings" w:hAnsi="Wingdings"/>
    </w:rPr>
  </w:style>
  <w:style w:type="paragraph" w:customStyle="1" w:styleId="TableHeading">
    <w:name w:val="Table Heading"/>
    <w:basedOn w:val="HeadingBase"/>
    <w:rsid w:val="00B339F8"/>
    <w:pPr>
      <w:keepLines/>
      <w:pBdr>
        <w:bottom w:val="single" w:sz="6" w:space="1" w:color="918585"/>
      </w:pBdr>
      <w:spacing w:before="240"/>
    </w:pPr>
  </w:style>
  <w:style w:type="character" w:customStyle="1" w:styleId="HotSpot">
    <w:name w:val="HotSpot"/>
    <w:rsid w:val="00B339F8"/>
    <w:rPr>
      <w:color w:val="0033CC"/>
      <w:u w:val="none"/>
    </w:rPr>
  </w:style>
  <w:style w:type="paragraph" w:customStyle="1" w:styleId="BodyTextRight">
    <w:name w:val="Body Text Right"/>
    <w:basedOn w:val="BodyText"/>
    <w:rsid w:val="00B339F8"/>
    <w:pPr>
      <w:spacing w:before="0" w:after="0"/>
      <w:jc w:val="right"/>
    </w:pPr>
  </w:style>
  <w:style w:type="paragraph" w:styleId="Index3">
    <w:name w:val="index 3"/>
    <w:basedOn w:val="ListNumber2"/>
    <w:next w:val="Normal"/>
    <w:semiHidden/>
    <w:rsid w:val="00B339F8"/>
    <w:pPr>
      <w:numPr>
        <w:numId w:val="0"/>
      </w:numPr>
      <w:tabs>
        <w:tab w:val="right" w:leader="dot" w:pos="4176"/>
      </w:tabs>
    </w:pPr>
  </w:style>
  <w:style w:type="paragraph" w:styleId="ListNumber2">
    <w:name w:val="List Number 2"/>
    <w:basedOn w:val="List2"/>
    <w:rsid w:val="00B339F8"/>
    <w:pPr>
      <w:numPr>
        <w:numId w:val="9"/>
      </w:numPr>
      <w:tabs>
        <w:tab w:val="clear" w:pos="1060"/>
      </w:tabs>
    </w:pPr>
  </w:style>
  <w:style w:type="paragraph" w:customStyle="1" w:styleId="MarginNote">
    <w:name w:val="Margin Note"/>
    <w:basedOn w:val="BodyText"/>
    <w:rsid w:val="00B339F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339F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339F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339F8"/>
    <w:rPr>
      <w:sz w:val="32"/>
    </w:rPr>
  </w:style>
  <w:style w:type="paragraph" w:customStyle="1" w:styleId="HeadingProcedure">
    <w:name w:val="Heading Procedure"/>
    <w:basedOn w:val="HeadingBase"/>
    <w:next w:val="Normal"/>
    <w:rsid w:val="00B339F8"/>
    <w:pPr>
      <w:tabs>
        <w:tab w:val="left" w:pos="0"/>
      </w:tabs>
      <w:spacing w:before="120" w:after="60"/>
    </w:pPr>
    <w:rPr>
      <w:i/>
      <w:color w:val="918585"/>
      <w:sz w:val="22"/>
    </w:rPr>
  </w:style>
  <w:style w:type="paragraph" w:customStyle="1" w:styleId="TableBodyText">
    <w:name w:val="Table Body Text"/>
    <w:basedOn w:val="BodyText"/>
    <w:rsid w:val="00B339F8"/>
    <w:pPr>
      <w:spacing w:before="60" w:after="60"/>
    </w:pPr>
  </w:style>
  <w:style w:type="paragraph" w:styleId="ListContinue">
    <w:name w:val="List Continue"/>
    <w:basedOn w:val="List"/>
    <w:rsid w:val="00B339F8"/>
    <w:pPr>
      <w:ind w:firstLine="0"/>
    </w:pPr>
  </w:style>
  <w:style w:type="paragraph" w:customStyle="1" w:styleId="ListNote">
    <w:name w:val="List Note"/>
    <w:basedOn w:val="List"/>
    <w:rsid w:val="00B339F8"/>
    <w:pPr>
      <w:pBdr>
        <w:top w:val="single" w:sz="6" w:space="2" w:color="918585"/>
        <w:bottom w:val="single" w:sz="6" w:space="2" w:color="918585"/>
      </w:pBdr>
      <w:tabs>
        <w:tab w:val="left" w:pos="1021"/>
      </w:tabs>
      <w:ind w:firstLine="0"/>
    </w:pPr>
  </w:style>
  <w:style w:type="paragraph" w:customStyle="1" w:styleId="Warning">
    <w:name w:val="Warning"/>
    <w:basedOn w:val="BodyText"/>
    <w:rsid w:val="00B339F8"/>
    <w:pPr>
      <w:shd w:val="clear" w:color="auto" w:fill="D9D9D9"/>
      <w:tabs>
        <w:tab w:val="left" w:pos="992"/>
      </w:tabs>
      <w:ind w:left="119" w:right="119"/>
    </w:pPr>
    <w:rPr>
      <w:sz w:val="20"/>
    </w:rPr>
  </w:style>
  <w:style w:type="paragraph" w:customStyle="1" w:styleId="MarginIcons">
    <w:name w:val="Margin Icons"/>
    <w:basedOn w:val="BodyText"/>
    <w:rsid w:val="00B339F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339F8"/>
    <w:rPr>
      <w:rFonts w:ascii="Courier New" w:hAnsi="Courier New"/>
    </w:rPr>
  </w:style>
  <w:style w:type="paragraph" w:customStyle="1" w:styleId="NoteBullet">
    <w:name w:val="Note Bullet"/>
    <w:basedOn w:val="Note"/>
    <w:rsid w:val="00B339F8"/>
    <w:pPr>
      <w:tabs>
        <w:tab w:val="clear" w:pos="680"/>
      </w:tabs>
      <w:spacing w:before="60" w:after="60"/>
    </w:pPr>
  </w:style>
  <w:style w:type="paragraph" w:customStyle="1" w:styleId="SubHeading2">
    <w:name w:val="SubHeading2"/>
    <w:basedOn w:val="HeadingBase"/>
    <w:rsid w:val="00B339F8"/>
    <w:pPr>
      <w:spacing w:before="240" w:after="60"/>
    </w:pPr>
    <w:rPr>
      <w:sz w:val="20"/>
    </w:rPr>
  </w:style>
  <w:style w:type="paragraph" w:customStyle="1" w:styleId="SubHeading1">
    <w:name w:val="SubHeading1"/>
    <w:basedOn w:val="HeadingBase"/>
    <w:rsid w:val="00B339F8"/>
    <w:pPr>
      <w:spacing w:before="240" w:after="60"/>
    </w:pPr>
    <w:rPr>
      <w:color w:val="918585"/>
      <w:sz w:val="22"/>
    </w:rPr>
  </w:style>
  <w:style w:type="paragraph" w:customStyle="1" w:styleId="SideHeading">
    <w:name w:val="Side Heading"/>
    <w:basedOn w:val="HeadingBase"/>
    <w:rsid w:val="00B339F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339F8"/>
    <w:pPr>
      <w:tabs>
        <w:tab w:val="num" w:pos="360"/>
      </w:tabs>
    </w:pPr>
  </w:style>
  <w:style w:type="paragraph" w:styleId="PlainText">
    <w:name w:val="Plain Text"/>
    <w:basedOn w:val="Normal"/>
    <w:link w:val="PlainTextChar"/>
    <w:rsid w:val="00B339F8"/>
    <w:rPr>
      <w:sz w:val="20"/>
    </w:rPr>
  </w:style>
  <w:style w:type="character" w:customStyle="1" w:styleId="PlainTextChar">
    <w:name w:val="Plain Text Char"/>
    <w:basedOn w:val="DefaultParagraphFont"/>
    <w:link w:val="PlainText"/>
    <w:rsid w:val="00B339F8"/>
    <w:rPr>
      <w:rFonts w:ascii="Courier New" w:eastAsia="Times New Roman" w:hAnsi="Courier New" w:cs="Times New Roman"/>
      <w:sz w:val="20"/>
      <w:szCs w:val="20"/>
      <w:lang w:eastAsia="en-US"/>
    </w:rPr>
  </w:style>
  <w:style w:type="character" w:customStyle="1" w:styleId="MenuOption">
    <w:name w:val="Menu Option"/>
    <w:basedOn w:val="DefaultParagraphFont"/>
    <w:rsid w:val="00B339F8"/>
    <w:rPr>
      <w:b/>
      <w:smallCaps/>
    </w:rPr>
  </w:style>
  <w:style w:type="paragraph" w:customStyle="1" w:styleId="TableListNumber">
    <w:name w:val="Table List Number"/>
    <w:basedOn w:val="ListNumber"/>
    <w:rsid w:val="00B339F8"/>
    <w:pPr>
      <w:numPr>
        <w:numId w:val="0"/>
      </w:numPr>
    </w:pPr>
  </w:style>
  <w:style w:type="paragraph" w:styleId="TOC4">
    <w:name w:val="toc 4"/>
    <w:basedOn w:val="TOCBase"/>
    <w:next w:val="Normal"/>
    <w:semiHidden/>
    <w:rsid w:val="00B339F8"/>
    <w:pPr>
      <w:tabs>
        <w:tab w:val="right" w:leader="dot" w:pos="9071"/>
      </w:tabs>
      <w:ind w:left="1701"/>
    </w:pPr>
  </w:style>
  <w:style w:type="paragraph" w:customStyle="1" w:styleId="ListAlpha">
    <w:name w:val="List Alpha"/>
    <w:basedOn w:val="List"/>
    <w:rsid w:val="00B339F8"/>
    <w:pPr>
      <w:numPr>
        <w:numId w:val="8"/>
      </w:numPr>
    </w:pPr>
  </w:style>
  <w:style w:type="paragraph" w:customStyle="1" w:styleId="ListAlpha2">
    <w:name w:val="List Alpha 2"/>
    <w:basedOn w:val="List2"/>
    <w:rsid w:val="00B339F8"/>
    <w:pPr>
      <w:numPr>
        <w:numId w:val="7"/>
      </w:numPr>
    </w:pPr>
  </w:style>
  <w:style w:type="paragraph" w:styleId="List2">
    <w:name w:val="List 2"/>
    <w:basedOn w:val="BodyText"/>
    <w:rsid w:val="00B339F8"/>
    <w:pPr>
      <w:tabs>
        <w:tab w:val="left" w:pos="680"/>
      </w:tabs>
      <w:spacing w:before="60" w:after="60"/>
      <w:ind w:left="680" w:hanging="340"/>
    </w:pPr>
  </w:style>
  <w:style w:type="paragraph" w:styleId="List3">
    <w:name w:val="List 3"/>
    <w:basedOn w:val="BodyText"/>
    <w:rsid w:val="00B339F8"/>
    <w:pPr>
      <w:tabs>
        <w:tab w:val="left" w:pos="1021"/>
      </w:tabs>
      <w:spacing w:before="60" w:after="60"/>
      <w:ind w:left="1020" w:hanging="340"/>
    </w:pPr>
  </w:style>
  <w:style w:type="paragraph" w:styleId="List4">
    <w:name w:val="List 4"/>
    <w:basedOn w:val="BodyText"/>
    <w:rsid w:val="00B339F8"/>
    <w:pPr>
      <w:tabs>
        <w:tab w:val="left" w:pos="1361"/>
      </w:tabs>
      <w:spacing w:before="60" w:after="60"/>
      <w:ind w:left="1361" w:hanging="340"/>
    </w:pPr>
  </w:style>
  <w:style w:type="paragraph" w:styleId="List5">
    <w:name w:val="List 5"/>
    <w:basedOn w:val="BodyText"/>
    <w:rsid w:val="00B339F8"/>
    <w:pPr>
      <w:tabs>
        <w:tab w:val="left" w:pos="1701"/>
      </w:tabs>
      <w:spacing w:before="60" w:after="60"/>
      <w:ind w:left="1701" w:hanging="340"/>
    </w:pPr>
  </w:style>
  <w:style w:type="paragraph" w:styleId="ListBullet3">
    <w:name w:val="List Bullet 3"/>
    <w:basedOn w:val="List3"/>
    <w:rsid w:val="00B339F8"/>
    <w:pPr>
      <w:numPr>
        <w:numId w:val="14"/>
      </w:numPr>
      <w:tabs>
        <w:tab w:val="clear" w:pos="1021"/>
      </w:tabs>
      <w:ind w:left="1037" w:hanging="357"/>
    </w:pPr>
  </w:style>
  <w:style w:type="paragraph" w:styleId="ListBullet4">
    <w:name w:val="List Bullet 4"/>
    <w:basedOn w:val="List4"/>
    <w:rsid w:val="00B339F8"/>
    <w:pPr>
      <w:numPr>
        <w:numId w:val="2"/>
      </w:numPr>
      <w:tabs>
        <w:tab w:val="clear" w:pos="1361"/>
      </w:tabs>
    </w:pPr>
  </w:style>
  <w:style w:type="paragraph" w:styleId="ListBullet5">
    <w:name w:val="List Bullet 5"/>
    <w:basedOn w:val="List5"/>
    <w:rsid w:val="00B339F8"/>
    <w:pPr>
      <w:numPr>
        <w:numId w:val="3"/>
      </w:numPr>
    </w:pPr>
  </w:style>
  <w:style w:type="paragraph" w:styleId="ListContinue2">
    <w:name w:val="List Continue 2"/>
    <w:basedOn w:val="List2"/>
    <w:rsid w:val="00B339F8"/>
    <w:pPr>
      <w:ind w:firstLine="0"/>
    </w:pPr>
  </w:style>
  <w:style w:type="paragraph" w:styleId="ListContinue3">
    <w:name w:val="List Continue 3"/>
    <w:basedOn w:val="List3"/>
    <w:rsid w:val="00B339F8"/>
    <w:pPr>
      <w:ind w:left="1021" w:firstLine="0"/>
    </w:pPr>
  </w:style>
  <w:style w:type="paragraph" w:styleId="ListContinue4">
    <w:name w:val="List Continue 4"/>
    <w:basedOn w:val="List4"/>
    <w:rsid w:val="00B339F8"/>
    <w:pPr>
      <w:ind w:firstLine="0"/>
    </w:pPr>
  </w:style>
  <w:style w:type="paragraph" w:styleId="ListContinue5">
    <w:name w:val="List Continue 5"/>
    <w:basedOn w:val="List5"/>
    <w:rsid w:val="00B339F8"/>
    <w:pPr>
      <w:ind w:firstLine="0"/>
    </w:pPr>
  </w:style>
  <w:style w:type="paragraph" w:styleId="ListNumber3">
    <w:name w:val="List Number 3"/>
    <w:basedOn w:val="List3"/>
    <w:rsid w:val="00B339F8"/>
    <w:pPr>
      <w:numPr>
        <w:numId w:val="4"/>
      </w:numPr>
    </w:pPr>
  </w:style>
  <w:style w:type="paragraph" w:styleId="ListNumber4">
    <w:name w:val="List Number 4"/>
    <w:basedOn w:val="List4"/>
    <w:rsid w:val="00B339F8"/>
    <w:pPr>
      <w:numPr>
        <w:numId w:val="5"/>
      </w:numPr>
    </w:pPr>
  </w:style>
  <w:style w:type="paragraph" w:styleId="ListNumber5">
    <w:name w:val="List Number 5"/>
    <w:basedOn w:val="List5"/>
    <w:rsid w:val="00B339F8"/>
    <w:pPr>
      <w:numPr>
        <w:numId w:val="6"/>
      </w:numPr>
    </w:pPr>
  </w:style>
  <w:style w:type="paragraph" w:styleId="BlockText">
    <w:name w:val="Block Text"/>
    <w:basedOn w:val="Normal"/>
    <w:rsid w:val="00B339F8"/>
    <w:pPr>
      <w:spacing w:after="120"/>
      <w:ind w:left="1440" w:right="1440"/>
    </w:pPr>
  </w:style>
  <w:style w:type="character" w:customStyle="1" w:styleId="Subscript">
    <w:name w:val="Subscript"/>
    <w:basedOn w:val="DefaultParagraphFont"/>
    <w:rsid w:val="00B339F8"/>
    <w:rPr>
      <w:sz w:val="16"/>
      <w:vertAlign w:val="subscript"/>
    </w:rPr>
  </w:style>
  <w:style w:type="character" w:customStyle="1" w:styleId="Superscript">
    <w:name w:val="Superscript"/>
    <w:basedOn w:val="DefaultParagraphFont"/>
    <w:rsid w:val="00B339F8"/>
    <w:rPr>
      <w:sz w:val="16"/>
      <w:vertAlign w:val="superscript"/>
    </w:rPr>
  </w:style>
  <w:style w:type="character" w:customStyle="1" w:styleId="Symbols">
    <w:name w:val="Symbols"/>
    <w:basedOn w:val="DefaultParagraphFont"/>
    <w:rsid w:val="00B339F8"/>
    <w:rPr>
      <w:rFonts w:ascii="Symbol" w:hAnsi="Symbol"/>
    </w:rPr>
  </w:style>
  <w:style w:type="character" w:customStyle="1" w:styleId="MenuOptions">
    <w:name w:val="Menu Options"/>
    <w:basedOn w:val="DefaultParagraphFont"/>
    <w:rsid w:val="00B339F8"/>
    <w:rPr>
      <w:rFonts w:ascii="Arial Narrow" w:hAnsi="Arial Narrow"/>
      <w:smallCaps/>
    </w:rPr>
  </w:style>
  <w:style w:type="character" w:customStyle="1" w:styleId="Buttons">
    <w:name w:val="Buttons"/>
    <w:basedOn w:val="DefaultParagraphFont"/>
    <w:rsid w:val="00B339F8"/>
    <w:rPr>
      <w:b/>
    </w:rPr>
  </w:style>
  <w:style w:type="character" w:customStyle="1" w:styleId="Underlined">
    <w:name w:val="Underlined"/>
    <w:basedOn w:val="DefaultParagraphFont"/>
    <w:rsid w:val="00B339F8"/>
    <w:rPr>
      <w:u w:val="single"/>
    </w:rPr>
  </w:style>
  <w:style w:type="paragraph" w:customStyle="1" w:styleId="TableBodyTextRight">
    <w:name w:val="Table Body Text Right"/>
    <w:basedOn w:val="TableBodyText"/>
    <w:rsid w:val="00B339F8"/>
    <w:pPr>
      <w:widowControl w:val="0"/>
      <w:autoSpaceDE w:val="0"/>
      <w:autoSpaceDN w:val="0"/>
      <w:adjustRightInd w:val="0"/>
      <w:jc w:val="right"/>
    </w:pPr>
    <w:rPr>
      <w:rFonts w:cs="Arial"/>
      <w:szCs w:val="18"/>
    </w:rPr>
  </w:style>
  <w:style w:type="paragraph" w:customStyle="1" w:styleId="CopyrightText">
    <w:name w:val="Copyright Text"/>
    <w:basedOn w:val="BodyText"/>
    <w:rsid w:val="00B339F8"/>
    <w:rPr>
      <w:sz w:val="18"/>
    </w:rPr>
  </w:style>
  <w:style w:type="paragraph" w:customStyle="1" w:styleId="BodySmallRight">
    <w:name w:val="Body Small Right"/>
    <w:basedOn w:val="BodyTextRight"/>
    <w:rsid w:val="00B339F8"/>
    <w:rPr>
      <w:sz w:val="18"/>
      <w:szCs w:val="18"/>
    </w:rPr>
  </w:style>
  <w:style w:type="paragraph" w:customStyle="1" w:styleId="MarginEdition">
    <w:name w:val="Margin Edition"/>
    <w:basedOn w:val="MarginNote"/>
    <w:rsid w:val="00B339F8"/>
    <w:pPr>
      <w:spacing w:before="0" w:after="0"/>
    </w:pPr>
    <w:rPr>
      <w:rFonts w:ascii="Times New Roman" w:hAnsi="Times New Roman"/>
      <w:color w:val="999999"/>
    </w:rPr>
  </w:style>
  <w:style w:type="paragraph" w:customStyle="1" w:styleId="Spacer">
    <w:name w:val="Spacer"/>
    <w:basedOn w:val="Normal"/>
    <w:rsid w:val="00B339F8"/>
    <w:rPr>
      <w:sz w:val="2"/>
      <w:szCs w:val="2"/>
    </w:rPr>
  </w:style>
  <w:style w:type="character" w:customStyle="1" w:styleId="Small">
    <w:name w:val="Small"/>
    <w:basedOn w:val="DefaultParagraphFont"/>
    <w:rsid w:val="00B339F8"/>
    <w:rPr>
      <w:sz w:val="16"/>
    </w:rPr>
  </w:style>
  <w:style w:type="paragraph" w:customStyle="1" w:styleId="WideTable">
    <w:name w:val="Wide Table"/>
    <w:basedOn w:val="Normal"/>
    <w:rsid w:val="00B339F8"/>
    <w:pPr>
      <w:ind w:left="-1418"/>
    </w:pPr>
    <w:rPr>
      <w:sz w:val="2"/>
      <w:szCs w:val="2"/>
    </w:rPr>
  </w:style>
  <w:style w:type="character" w:styleId="PageNumber">
    <w:name w:val="page number"/>
    <w:basedOn w:val="DefaultParagraphFont"/>
    <w:rsid w:val="00B339F8"/>
  </w:style>
  <w:style w:type="paragraph" w:styleId="Quote">
    <w:name w:val="Quote"/>
    <w:basedOn w:val="Heading1"/>
    <w:link w:val="QuoteChar"/>
    <w:qFormat/>
    <w:rsid w:val="00B339F8"/>
    <w:rPr>
      <w:b w:val="0"/>
      <w:sz w:val="72"/>
      <w:szCs w:val="72"/>
      <w:lang w:val="en-NZ"/>
    </w:rPr>
  </w:style>
  <w:style w:type="character" w:customStyle="1" w:styleId="QuoteChar">
    <w:name w:val="Quote Char"/>
    <w:basedOn w:val="DefaultParagraphFont"/>
    <w:link w:val="Quote"/>
    <w:rsid w:val="00B339F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339F8"/>
    <w:pPr>
      <w:pageBreakBefore/>
    </w:pPr>
  </w:style>
  <w:style w:type="paragraph" w:customStyle="1" w:styleId="Border">
    <w:name w:val="Border"/>
    <w:basedOn w:val="Normal"/>
    <w:qFormat/>
    <w:rsid w:val="00B339F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339F8"/>
    <w:rPr>
      <w:b/>
      <w:bCs/>
      <w:i/>
      <w:iCs/>
      <w:color w:val="auto"/>
    </w:rPr>
  </w:style>
  <w:style w:type="paragraph" w:styleId="IntenseQuote">
    <w:name w:val="Intense Quote"/>
    <w:basedOn w:val="Normal"/>
    <w:next w:val="Normal"/>
    <w:link w:val="IntenseQuoteChar"/>
    <w:uiPriority w:val="30"/>
    <w:qFormat/>
    <w:rsid w:val="00B339F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339F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339F8"/>
    <w:rPr>
      <w:smallCaps/>
      <w:color w:val="auto"/>
      <w:u w:val="single"/>
    </w:rPr>
  </w:style>
  <w:style w:type="character" w:styleId="IntenseReference">
    <w:name w:val="Intense Reference"/>
    <w:basedOn w:val="DefaultParagraphFont"/>
    <w:uiPriority w:val="32"/>
    <w:qFormat/>
    <w:rsid w:val="00B339F8"/>
    <w:rPr>
      <w:b/>
      <w:bCs/>
      <w:smallCaps/>
      <w:color w:val="auto"/>
      <w:spacing w:val="5"/>
      <w:u w:val="single"/>
    </w:rPr>
  </w:style>
  <w:style w:type="paragraph" w:customStyle="1" w:styleId="2ColumnHeading">
    <w:name w:val="2Column Heading"/>
    <w:basedOn w:val="BodyText"/>
    <w:qFormat/>
    <w:rsid w:val="00B339F8"/>
    <w:pPr>
      <w:spacing w:after="60"/>
      <w:ind w:left="-2268"/>
    </w:pPr>
    <w:rPr>
      <w:b/>
    </w:rPr>
  </w:style>
  <w:style w:type="paragraph" w:customStyle="1" w:styleId="Heading1TOC">
    <w:name w:val="Heading1 TOC"/>
    <w:basedOn w:val="Normal"/>
    <w:qFormat/>
    <w:rsid w:val="00B339F8"/>
    <w:pPr>
      <w:spacing w:before="240" w:after="120"/>
    </w:pPr>
    <w:rPr>
      <w:rFonts w:ascii="Times New Roman" w:hAnsi="Times New Roman"/>
      <w:b/>
      <w:sz w:val="32"/>
    </w:rPr>
  </w:style>
  <w:style w:type="paragraph" w:customStyle="1" w:styleId="Heading2TOC">
    <w:name w:val="Heading2 TOC"/>
    <w:basedOn w:val="Normal"/>
    <w:qFormat/>
    <w:rsid w:val="00B339F8"/>
    <w:pPr>
      <w:spacing w:before="240" w:after="60"/>
    </w:pPr>
    <w:rPr>
      <w:rFonts w:ascii="Times New Roman" w:hAnsi="Times New Roman"/>
      <w:b/>
      <w:sz w:val="28"/>
    </w:rPr>
  </w:style>
  <w:style w:type="character" w:customStyle="1" w:styleId="Underline">
    <w:name w:val="Underline"/>
    <w:basedOn w:val="DefaultParagraphFont"/>
    <w:qFormat/>
    <w:rsid w:val="00B339F8"/>
    <w:rPr>
      <w:u w:val="single"/>
    </w:rPr>
  </w:style>
  <w:style w:type="character" w:customStyle="1" w:styleId="BoldandItalics">
    <w:name w:val="Bold and Italics"/>
    <w:qFormat/>
    <w:rsid w:val="00B339F8"/>
    <w:rPr>
      <w:b/>
      <w:i/>
      <w:u w:val="none"/>
    </w:rPr>
  </w:style>
  <w:style w:type="paragraph" w:styleId="BalloonText">
    <w:name w:val="Balloon Text"/>
    <w:basedOn w:val="Normal"/>
    <w:link w:val="BalloonTextChar"/>
    <w:rsid w:val="00B339F8"/>
    <w:rPr>
      <w:rFonts w:ascii="Tahoma" w:hAnsi="Tahoma" w:cs="Tahoma"/>
      <w:sz w:val="16"/>
      <w:szCs w:val="16"/>
    </w:rPr>
  </w:style>
  <w:style w:type="character" w:customStyle="1" w:styleId="BalloonTextChar">
    <w:name w:val="Balloon Text Char"/>
    <w:basedOn w:val="DefaultParagraphFont"/>
    <w:link w:val="BalloonText"/>
    <w:rsid w:val="00B339F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339F8"/>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B339F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339F8"/>
    <w:rPr>
      <w:b/>
      <w:color w:val="660033"/>
      <w:spacing w:val="0"/>
    </w:rPr>
  </w:style>
  <w:style w:type="paragraph" w:customStyle="1" w:styleId="Nameditemlist">
    <w:name w:val="Named item list"/>
    <w:basedOn w:val="BodyText"/>
    <w:qFormat/>
    <w:rsid w:val="00B339F8"/>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853</Words>
  <Characters>5468</Characters>
  <Application>Microsoft Office Word</Application>
  <DocSecurity>0</DocSecurity>
  <Lines>266</Lines>
  <Paragraphs>123</Paragraphs>
  <ScaleCrop>false</ScaleCrop>
  <Company>Author-it Software Corporation Ltd.</Company>
  <LinksUpToDate>false</LinksUpToDate>
  <CharactersWithSpaces>6226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MSS017003 Identify and respond to external sustainability factors for an organisation</dc:title>
  <dc:subject>Approved</dc:subject>
  <dc:creator>Manufacturing Skills Australia</dc:creator>
  <cp:keywords>Release: 1</cp:keywords>
  <dc:description>Review Date: 12 April 2008</dc:description>
  <cp:lastModifiedBy>TPCMS</cp:lastModifiedBy>
  <cp:revision>3</cp:revision>
  <dcterms:created xsi:type="dcterms:W3CDTF">2016-06-22T08:46:00Z</dcterms:created>
  <dcterms:modified xsi:type="dcterms:W3CDTF">2016-06-22T08:46:00Z</dcterms:modified>
</cp:coreProperties>
</file>