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F67" w:rsidP="00054F67">
      <w:pPr>
        <w:pStyle w:val="Title"/>
      </w:pPr>
      <w:r>
        <w:fldChar w:fldCharType="begin"/>
      </w:r>
      <w:r>
        <w:instrText xml:space="preserve"> TITLE   \* MERGEFORMAT </w:instrText>
      </w:r>
      <w:r>
        <w:fldChar w:fldCharType="separate"/>
      </w:r>
      <w:r>
        <w:t>MSS017001 Analyse and determine organisational risk areas in sustainability</w:t>
      </w:r>
      <w:r>
        <w:fldChar w:fldCharType="end"/>
      </w:r>
    </w:p>
    <w:p w:rsidR="00054F67" w:rsidP="00054F67">
      <w:pPr>
        <w:pStyle w:val="Version"/>
        <w:sectPr w:rsidSect="00DF23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32B" w:rsidP="00DF232B">
      <w:pPr>
        <w:pStyle w:val="SuperHeading"/>
      </w:pPr>
      <w:r w:rsidRPr="00DF232B">
        <w:t>MSS017001 Analyse and determine organisational risk areas in sustainability</w:t>
      </w:r>
    </w:p>
    <w:p w:rsidR="00000000" w:rsidRPr="00DF232B" w:rsidP="00DF232B">
      <w:pPr>
        <w:pStyle w:val="Heading1"/>
      </w:pPr>
      <w:bookmarkStart w:id="1" w:name="O_923286"/>
      <w:bookmarkEnd w:id="1"/>
      <w:r w:rsidRPr="00DF232B">
        <w:t>Modification History</w:t>
      </w:r>
    </w:p>
    <w:p w:rsidR="00000000" w:rsidRPr="00DF232B" w:rsidP="00054F67">
      <w:pPr>
        <w:pStyle w:val="BodyText"/>
      </w:pPr>
      <w:r w:rsidRPr="00DF232B">
        <w:t xml:space="preserve">Release 1. Supersedes and is equivalent to MSS017001A Analyse and determine organisational risk areas in sustainability. </w:t>
      </w:r>
    </w:p>
    <w:p w:rsidR="00000000" w:rsidRPr="00DF232B" w:rsidP="00DF232B">
      <w:pPr>
        <w:pStyle w:val="Heading1"/>
      </w:pPr>
      <w:bookmarkStart w:id="2" w:name="O_923294"/>
      <w:bookmarkEnd w:id="2"/>
      <w:r w:rsidRPr="00DF232B">
        <w:t>Application</w:t>
      </w:r>
    </w:p>
    <w:p w:rsidR="00000000" w:rsidRPr="00DF232B" w:rsidP="00054F67">
      <w:pPr>
        <w:pStyle w:val="BodyText"/>
      </w:pPr>
      <w:r w:rsidRPr="00DF232B">
        <w:t xml:space="preserve">This unit of competency covers the analysis of an organisation’s interactions with its environment, the specifics of the local situation and determining risks and vulnerabilities (hot spots) for close monitoring or action. It may be applied to </w:t>
      </w:r>
      <w:r w:rsidRPr="00DF232B">
        <w:t>an entire organisation, part of a large organisation or part/all of a value chain.</w:t>
      </w:r>
    </w:p>
    <w:p w:rsidR="00000000" w:rsidRPr="00DF232B" w:rsidP="00054F67">
      <w:pPr>
        <w:pStyle w:val="BodyText"/>
      </w:pPr>
      <w:r w:rsidRPr="00DF232B">
        <w:t>This unit covers the analysis of an organisation’s interactions with its environment through an application of the principles of sustainability and an understanding of clim</w:t>
      </w:r>
      <w:r w:rsidRPr="00DF232B">
        <w:t>ate change and other significant sustainability issues, such as resource depletion. The organisation’s environment, for the purpose of this unit, is considered to include the ecology it impacts, the economic impacts on the organisation and the social impac</w:t>
      </w:r>
      <w:r w:rsidRPr="00DF232B">
        <w:t>ts of the organisation.</w:t>
      </w:r>
    </w:p>
    <w:p w:rsidR="00000000" w:rsidRPr="00DF232B" w:rsidP="00054F67">
      <w:pPr>
        <w:pStyle w:val="BodyText"/>
      </w:pPr>
      <w:r w:rsidRPr="00DF232B">
        <w:t xml:space="preserve">This unit covers the identification of items which have the potential for a major sustainability impact, and so require some response from the organisation. </w:t>
      </w:r>
    </w:p>
    <w:p w:rsidR="00000000" w:rsidRPr="00DF232B" w:rsidP="00054F67">
      <w:pPr>
        <w:pStyle w:val="BodyText"/>
      </w:pPr>
      <w:r w:rsidRPr="00DF232B">
        <w:t xml:space="preserve">A manager or senior technologist who has significant responsibility for </w:t>
      </w:r>
      <w:r w:rsidRPr="00DF232B">
        <w:t>sustainability in their work role would typically undertake this unit. Skills covered by this unit may be applied individually or in a team context.</w:t>
      </w:r>
    </w:p>
    <w:p w:rsidR="00000000" w:rsidRPr="00DF232B" w:rsidP="00054F67">
      <w:pPr>
        <w:pStyle w:val="BodyText"/>
      </w:pPr>
      <w:r w:rsidRPr="00DF232B">
        <w:t>No licensing, legislative or certification requirements apply to this unit at the time of publication.</w:t>
      </w:r>
    </w:p>
    <w:p w:rsidR="00000000" w:rsidRPr="00DF232B" w:rsidP="00DF232B">
      <w:pPr>
        <w:pStyle w:val="Heading1"/>
      </w:pPr>
      <w:bookmarkStart w:id="3" w:name="O_923293"/>
      <w:bookmarkEnd w:id="3"/>
      <w:r w:rsidRPr="00DF232B">
        <w:t>Pre-requisite Unit</w:t>
      </w:r>
    </w:p>
    <w:p w:rsidR="00000000" w:rsidRPr="00DF232B" w:rsidP="00054F67">
      <w:pPr>
        <w:pStyle w:val="BodyText"/>
      </w:pPr>
      <w:r w:rsidRPr="00DF232B">
        <w:t>Nil</w:t>
      </w:r>
    </w:p>
    <w:p w:rsidR="00000000" w:rsidRPr="00DF232B" w:rsidP="00DF232B">
      <w:pPr>
        <w:pStyle w:val="Heading1"/>
      </w:pPr>
      <w:bookmarkStart w:id="4" w:name="O_923292"/>
      <w:bookmarkEnd w:id="4"/>
      <w:r w:rsidRPr="00DF232B">
        <w:t>Competency Field</w:t>
      </w:r>
    </w:p>
    <w:p w:rsidR="00000000" w:rsidRPr="00DF232B" w:rsidP="00054F67">
      <w:pPr>
        <w:pStyle w:val="BodyText"/>
      </w:pPr>
      <w:r w:rsidRPr="00DF232B">
        <w:t>Sustainable operations</w:t>
      </w:r>
    </w:p>
    <w:p w:rsidR="00000000" w:rsidRPr="00DF232B" w:rsidP="00DF232B">
      <w:pPr>
        <w:pStyle w:val="Heading1"/>
      </w:pPr>
      <w:bookmarkStart w:id="5" w:name="O_923291"/>
      <w:bookmarkEnd w:id="5"/>
      <w:r w:rsidRPr="00DF232B">
        <w:t>Unit Sector</w:t>
      </w:r>
    </w:p>
    <w:p w:rsidR="00000000" w:rsidRPr="00DF232B" w:rsidP="00054F67">
      <w:pPr>
        <w:pStyle w:val="BodyText"/>
      </w:pPr>
      <w:r w:rsidRPr="00DF232B">
        <w:t>Not applicable</w:t>
      </w:r>
    </w:p>
    <w:p w:rsidR="00000000" w:rsidRPr="00DF232B" w:rsidP="00DF232B">
      <w:pPr>
        <w:pStyle w:val="Heading1"/>
      </w:pPr>
      <w:bookmarkStart w:id="6" w:name="O_923290"/>
      <w:bookmarkEnd w:id="6"/>
      <w:r w:rsidRPr="00DF232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F232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Performance c</w:t>
            </w:r>
            <w:r w:rsidRPr="00DF232B">
              <w:t>riteria describe the performance needed to demonstrate achievement of the element.</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232B" w:rsidP="00DF232B">
            <w:pPr>
              <w:pStyle w:val="BodyText"/>
            </w:pPr>
            <w:r w:rsidRPr="00DF232B">
              <w:t>1</w:t>
            </w:r>
          </w:p>
        </w:tc>
        <w:tc>
          <w:tcPr>
            <w:tcW w:w="1962" w:type="dxa"/>
            <w:vMerge w:val="restart"/>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rPr>
                <w:rStyle w:val="SpecialBold"/>
              </w:rPr>
              <w:t>Analyse interactions with organisation’s environment</w:t>
            </w: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1.1</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Process map operation for chosen portion of value chain.</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1.2</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Determine ecological interactions for each proce</w:t>
            </w:r>
            <w:r w:rsidRPr="00DF232B">
              <w:t>ss step.</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1.3</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Determine social interactions for each process step.</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1.4</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Determine economic interactions for each process step.</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1.5</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Analyse overall interactions for chosen portion of value chain.</w:t>
            </w:r>
          </w:p>
        </w:tc>
      </w:tr>
      <w:tr w:rsidTr="00DF23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232B">
            <w:pPr>
              <w:pStyle w:val="BodyText"/>
              <w:rPr>
                <w:lang w:val="en-NZ"/>
              </w:rPr>
            </w:pP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232B" w:rsidP="00DF232B">
            <w:pPr>
              <w:pStyle w:val="BodyText"/>
            </w:pPr>
            <w:r w:rsidRPr="00DF232B">
              <w:t>2</w:t>
            </w:r>
          </w:p>
        </w:tc>
        <w:tc>
          <w:tcPr>
            <w:tcW w:w="1962" w:type="dxa"/>
            <w:vMerge w:val="restart"/>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rPr>
                <w:rStyle w:val="SpecialBold"/>
              </w:rPr>
              <w:t>Determine the significance of each impact</w:t>
            </w: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2.1</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Determine sustainability issues of particular relevance to the chosen portion of the value chain.</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2.2</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Analyse ecological impacts.</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2.3</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Analyse social impacts.</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2.4</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Analyse economic impacts.</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2.5</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Analyse for interactions between individual impacts.</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2.6</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Rank each impact by significance.</w:t>
            </w:r>
          </w:p>
        </w:tc>
      </w:tr>
      <w:tr w:rsidTr="00DF23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232B">
            <w:pPr>
              <w:pStyle w:val="BodyText"/>
              <w:rPr>
                <w:lang w:val="en-NZ"/>
              </w:rPr>
            </w:pP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232B" w:rsidP="00DF232B">
            <w:pPr>
              <w:pStyle w:val="BodyText"/>
            </w:pPr>
            <w:r w:rsidRPr="00DF232B">
              <w:t>3</w:t>
            </w:r>
          </w:p>
        </w:tc>
        <w:tc>
          <w:tcPr>
            <w:tcW w:w="1962" w:type="dxa"/>
            <w:vMerge w:val="restart"/>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rPr>
                <w:rStyle w:val="SpecialBold"/>
              </w:rPr>
              <w:t>Develop an appropriate response for each interaction</w:t>
            </w: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3.1</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Analyse the causal tree for each significant impact.</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3.2</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Analyse mitigation methods available.</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3.3</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Determine an appropriate response for each significant impact.</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3.4</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Determine aggregate impact of all ‘non-significant’ impacts.</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3.5</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Determine if additional response is required.</w:t>
            </w:r>
          </w:p>
        </w:tc>
      </w:tr>
      <w:tr w:rsidTr="00DF23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232B">
            <w:pPr>
              <w:pStyle w:val="BodyText"/>
              <w:rPr>
                <w:lang w:val="en-NZ"/>
              </w:rPr>
            </w:pP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232B" w:rsidP="00DF232B">
            <w:pPr>
              <w:pStyle w:val="BodyText"/>
            </w:pPr>
            <w:r w:rsidRPr="00DF232B">
              <w:t>4</w:t>
            </w:r>
          </w:p>
        </w:tc>
        <w:tc>
          <w:tcPr>
            <w:tcW w:w="1962" w:type="dxa"/>
            <w:vMerge w:val="restart"/>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rPr>
                <w:rStyle w:val="SpecialBold"/>
              </w:rPr>
              <w:t>Communicate with relevant stakeholders</w:t>
            </w: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4.1</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Identify relevant stakeholders.</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4.2</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Determine stakeholder information needs and wants.</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4.3</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Analyse data which may be appropriate to communicate with stakeholders.</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4.4</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Prepare and disseminate information to stakeholders, as appropriate.</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4.5</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Negotiate solutions with stakeholders, as required.</w:t>
            </w:r>
          </w:p>
        </w:tc>
      </w:tr>
      <w:tr w:rsidTr="00DF23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232B">
            <w:pPr>
              <w:pStyle w:val="BodyText"/>
              <w:rPr>
                <w:lang w:val="en-NZ"/>
              </w:rPr>
            </w:pP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232B" w:rsidP="00DF232B">
            <w:pPr>
              <w:pStyle w:val="BodyText"/>
            </w:pPr>
            <w:r w:rsidRPr="00DF232B">
              <w:t>5</w:t>
            </w:r>
          </w:p>
        </w:tc>
        <w:tc>
          <w:tcPr>
            <w:tcW w:w="1962" w:type="dxa"/>
            <w:vMerge w:val="restart"/>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rPr>
                <w:rStyle w:val="SpecialBold"/>
              </w:rPr>
              <w:t>Communicate required responses as appropriate</w:t>
            </w: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5.1</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Identify what communications are required and to whom.</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5.2</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Prepare appropriate reports and recommendations.</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5.3</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Pitch reports and recommendations as appropriate.</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5.4</w:t>
            </w:r>
          </w:p>
        </w:tc>
        <w:tc>
          <w:tcPr>
            <w:tcW w:w="561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Brief appropriate persons as required by determined responses.</w:t>
            </w:r>
          </w:p>
        </w:tc>
      </w:tr>
      <w:tr w:rsidTr="00DF2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5.5</w:t>
            </w:r>
          </w:p>
        </w:tc>
        <w:tc>
          <w:tcPr>
            <w:tcW w:w="5610" w:type="dxa"/>
            <w:tcBorders>
              <w:top w:val="nil"/>
              <w:left w:val="nil"/>
              <w:bottom w:val="nil"/>
              <w:right w:val="nil"/>
            </w:tcBorders>
            <w:tcMar>
              <w:top w:w="0" w:type="dxa"/>
              <w:left w:w="62" w:type="dxa"/>
              <w:bottom w:w="0" w:type="dxa"/>
              <w:right w:w="62" w:type="dxa"/>
            </w:tcMar>
          </w:tcPr>
          <w:p w:rsidR="00000000" w:rsidRPr="00DF232B" w:rsidP="00DF232B">
            <w:pPr>
              <w:pStyle w:val="BodyText"/>
            </w:pPr>
            <w:r w:rsidRPr="00DF232B">
              <w:t>Finalise appropriate recording.</w:t>
            </w:r>
          </w:p>
        </w:tc>
      </w:tr>
    </w:tbl>
    <w:p w:rsidR="00000000" w:rsidRPr="00DF232B" w:rsidP="00DF232B">
      <w:pPr>
        <w:pStyle w:val="BodyText"/>
      </w:pPr>
    </w:p>
    <w:p w:rsidR="00000000" w:rsidRPr="00DF232B" w:rsidP="00DF232B">
      <w:pPr>
        <w:pStyle w:val="AllowPageBreak"/>
      </w:pPr>
    </w:p>
    <w:p w:rsidR="00000000" w:rsidRPr="00DF232B" w:rsidP="00DF232B">
      <w:pPr>
        <w:pStyle w:val="Heading1"/>
      </w:pPr>
      <w:bookmarkStart w:id="7" w:name="O_923289"/>
      <w:bookmarkEnd w:id="7"/>
      <w:r w:rsidRPr="00DF232B">
        <w:t>Foundation Skills</w:t>
      </w:r>
    </w:p>
    <w:p w:rsidR="00000000" w:rsidRPr="00DF232B" w:rsidP="00054F67">
      <w:pPr>
        <w:pStyle w:val="BodyText"/>
      </w:pPr>
      <w:r w:rsidRPr="00DF232B">
        <w:t>This section describes those required skills (language, lite</w:t>
      </w:r>
      <w:r w:rsidRPr="00DF232B">
        <w:t>racy and numeracy) that are essential to performance.</w:t>
      </w:r>
    </w:p>
    <w:p w:rsidR="00000000" w:rsidRPr="00DF232B" w:rsidP="00054F67">
      <w:pPr>
        <w:pStyle w:val="BodyText"/>
      </w:pPr>
      <w:r w:rsidRPr="00DF232B">
        <w:t>Foundation skills essential to performance are explicit in the performance criteria of this unit of competency.</w:t>
      </w:r>
    </w:p>
    <w:p w:rsidR="00000000" w:rsidRPr="00DF232B" w:rsidP="00DF232B">
      <w:pPr>
        <w:pStyle w:val="Heading1"/>
      </w:pPr>
      <w:bookmarkStart w:id="8" w:name="O_923288"/>
      <w:bookmarkEnd w:id="8"/>
      <w:r w:rsidRPr="00DF232B">
        <w:t>Range of Conditions</w:t>
      </w:r>
    </w:p>
    <w:tbl>
      <w:tblPr>
        <w:tblW w:w="0" w:type="auto"/>
        <w:tblLayout w:type="fixed"/>
        <w:tblCellMar>
          <w:left w:w="62" w:type="dxa"/>
          <w:right w:w="62" w:type="dxa"/>
        </w:tblCellMar>
        <w:tblLook w:val="0000"/>
      </w:tblPr>
      <w:tblGrid>
        <w:gridCol w:w="2238"/>
        <w:gridCol w:w="6834"/>
      </w:tblGrid>
      <w:tr w:rsidTr="00DF23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t>This field allows for different work environments and conditions that may affect performance. Essential operating conditions that may be present (depending on the work situation, needs of the candidate, accessibility of the item, and local industry and reg</w:t>
            </w:r>
            <w:r w:rsidRPr="00DF232B">
              <w:t>ional contexts) are included.</w:t>
            </w:r>
          </w:p>
        </w:tc>
      </w:tr>
      <w:tr w:rsidTr="00DF232B">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rPr>
                <w:rStyle w:val="SpecialBold"/>
              </w:rPr>
              <w:t>Sustainability incorporates all of</w:t>
            </w:r>
          </w:p>
        </w:tc>
        <w:tc>
          <w:tcPr>
            <w:tcW w:w="6834" w:type="dxa"/>
            <w:tcBorders>
              <w:top w:val="nil"/>
              <w:left w:val="nil"/>
              <w:bottom w:val="nil"/>
              <w:right w:val="nil"/>
            </w:tcBorders>
            <w:tcMar>
              <w:top w:w="0" w:type="dxa"/>
              <w:left w:w="62" w:type="dxa"/>
              <w:bottom w:w="0" w:type="dxa"/>
              <w:right w:w="62" w:type="dxa"/>
            </w:tcMar>
          </w:tcPr>
          <w:p w:rsidR="00000000" w:rsidRPr="00DF232B" w:rsidP="00DF232B">
            <w:pPr>
              <w:pStyle w:val="ListBullet"/>
            </w:pPr>
            <w:r w:rsidRPr="00DF232B">
              <w:t>survival of the ecology/physical environment (to manage the impact of the business to ensure the survival of the physical environment)</w:t>
            </w:r>
          </w:p>
          <w:p w:rsidR="00000000" w:rsidRPr="00DF232B" w:rsidP="00DF232B">
            <w:pPr>
              <w:pStyle w:val="ListBullet"/>
            </w:pPr>
            <w:r w:rsidRPr="00DF232B">
              <w:t>economic viability (efficiency, cost and waste reduct</w:t>
            </w:r>
            <w:r w:rsidRPr="00DF232B">
              <w:t>ion and competitiveness to support survival of the business)</w:t>
            </w:r>
          </w:p>
          <w:p w:rsidR="00000000" w:rsidRPr="00DF232B" w:rsidP="00DF232B">
            <w:pPr>
              <w:pStyle w:val="ListBullet"/>
            </w:pPr>
            <w:r w:rsidRPr="00DF232B">
              <w:t>social sustainability (to manage the impact of the business to ensure its continued survival within the community and the survival of the community).</w:t>
            </w:r>
          </w:p>
          <w:p w:rsidR="00000000" w:rsidP="00DF232B">
            <w:pPr>
              <w:pStyle w:val="BodyText"/>
              <w:rPr>
                <w:lang w:val="en-NZ"/>
              </w:rPr>
            </w:pPr>
          </w:p>
        </w:tc>
      </w:tr>
      <w:tr w:rsidTr="00DF232B">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rPr>
                <w:rStyle w:val="SpecialBold"/>
              </w:rPr>
              <w:t>Sustainability issues of particular relevance include one or more of</w:t>
            </w:r>
          </w:p>
        </w:tc>
        <w:tc>
          <w:tcPr>
            <w:tcW w:w="6834" w:type="dxa"/>
            <w:tcBorders>
              <w:top w:val="nil"/>
              <w:left w:val="nil"/>
              <w:bottom w:val="nil"/>
              <w:right w:val="nil"/>
            </w:tcBorders>
            <w:tcMar>
              <w:top w:w="0" w:type="dxa"/>
              <w:left w:w="62" w:type="dxa"/>
              <w:bottom w:w="0" w:type="dxa"/>
              <w:right w:w="62" w:type="dxa"/>
            </w:tcMar>
          </w:tcPr>
          <w:p w:rsidR="00000000" w:rsidRPr="00DF232B" w:rsidP="00DF232B">
            <w:pPr>
              <w:pStyle w:val="ListBullet"/>
            </w:pPr>
            <w:r w:rsidRPr="00DF232B">
              <w:t>particular sensitivities of the local ecology (e.g. endangered species, sensitive local flora/fauna, material scarcity, water availability)</w:t>
            </w:r>
          </w:p>
          <w:p w:rsidR="00000000" w:rsidRPr="00DF232B" w:rsidP="00DF232B">
            <w:pPr>
              <w:pStyle w:val="ListBullet"/>
            </w:pPr>
            <w:r w:rsidRPr="00DF232B">
              <w:t>general ecology issues and regulations (e.g. c</w:t>
            </w:r>
            <w:r w:rsidRPr="00DF232B">
              <w:t>limate change and carbon footprint, pollution control measures)</w:t>
            </w:r>
          </w:p>
          <w:p w:rsidR="00000000" w:rsidRPr="00DF232B" w:rsidP="00DF232B">
            <w:pPr>
              <w:pStyle w:val="ListBullet"/>
            </w:pPr>
            <w:r w:rsidRPr="00DF232B">
              <w:t>particular local social issues (e.g. distortions to the housing market, disruption to local lifestyles)</w:t>
            </w:r>
          </w:p>
          <w:p w:rsidR="00000000" w:rsidRPr="00DF232B" w:rsidP="00DF232B">
            <w:pPr>
              <w:pStyle w:val="ListBullet"/>
            </w:pPr>
            <w:r w:rsidRPr="00DF232B">
              <w:t>general social issues (e.g. corporate citizenship, use/or deterioration to infrastructur</w:t>
            </w:r>
            <w:r w:rsidRPr="00DF232B">
              <w:t>e)</w:t>
            </w:r>
          </w:p>
          <w:p w:rsidR="00000000" w:rsidRPr="00DF232B" w:rsidP="00DF232B">
            <w:pPr>
              <w:pStyle w:val="ListBullet"/>
            </w:pPr>
            <w:r w:rsidRPr="00DF232B">
              <w:t>particular local economic issues (e.g. cost of capital, profit margins, competition)</w:t>
            </w:r>
          </w:p>
          <w:p w:rsidR="00000000" w:rsidRPr="00DF232B" w:rsidP="00DF232B">
            <w:pPr>
              <w:pStyle w:val="ListBullet"/>
            </w:pPr>
            <w:r w:rsidRPr="00DF232B">
              <w:t>general economic issues (e.g. state of the economy, stage of the business cycle)</w:t>
            </w:r>
          </w:p>
          <w:p w:rsidR="00000000" w:rsidRPr="00DF232B" w:rsidP="00DF232B">
            <w:pPr>
              <w:pStyle w:val="ListBullet"/>
            </w:pPr>
            <w:r w:rsidRPr="00DF232B">
              <w:t>product improvement/life cycle (e.g. organisational risk of loss of sales due to consum</w:t>
            </w:r>
            <w:r w:rsidRPr="00DF232B">
              <w:t>er preference/economic opportunity for more sustainable products, competitors meeting this market, consumer preferences not to use companies with poor sustainability credentials).</w:t>
            </w:r>
          </w:p>
          <w:p w:rsidR="00000000" w:rsidP="00DF232B">
            <w:pPr>
              <w:pStyle w:val="BodyText"/>
              <w:rPr>
                <w:lang w:val="en-NZ"/>
              </w:rPr>
            </w:pPr>
          </w:p>
        </w:tc>
      </w:tr>
      <w:tr w:rsidTr="00DF232B">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rPr>
                <w:rStyle w:val="SpecialBold"/>
              </w:rPr>
              <w:t>Significance of impact includes one or more of</w:t>
            </w:r>
          </w:p>
        </w:tc>
        <w:tc>
          <w:tcPr>
            <w:tcW w:w="6834" w:type="dxa"/>
            <w:tcBorders>
              <w:top w:val="nil"/>
              <w:left w:val="nil"/>
              <w:bottom w:val="nil"/>
              <w:right w:val="nil"/>
            </w:tcBorders>
            <w:tcMar>
              <w:top w:w="0" w:type="dxa"/>
              <w:left w:w="62" w:type="dxa"/>
              <w:bottom w:w="0" w:type="dxa"/>
              <w:right w:w="62" w:type="dxa"/>
            </w:tcMar>
          </w:tcPr>
          <w:p w:rsidR="00000000" w:rsidRPr="00DF232B" w:rsidP="00DF232B">
            <w:pPr>
              <w:pStyle w:val="ListBullet"/>
            </w:pPr>
            <w:r w:rsidRPr="00DF232B">
              <w:t>permanent loss or degradat</w:t>
            </w:r>
            <w:r w:rsidRPr="00DF232B">
              <w:t>ion</w:t>
            </w:r>
          </w:p>
          <w:p w:rsidR="00000000" w:rsidRPr="00DF232B" w:rsidP="00DF232B">
            <w:pPr>
              <w:pStyle w:val="ListBullet"/>
            </w:pPr>
            <w:r w:rsidRPr="00DF232B">
              <w:t>loss or degradation which inhibits use by the following generation</w:t>
            </w:r>
          </w:p>
          <w:p w:rsidR="00000000" w:rsidRPr="00DF232B" w:rsidP="00DF232B">
            <w:pPr>
              <w:pStyle w:val="ListBullet"/>
            </w:pPr>
            <w:r w:rsidRPr="00DF232B">
              <w:t>temporary degradation requiring remediation</w:t>
            </w:r>
          </w:p>
          <w:p w:rsidR="00000000" w:rsidRPr="00DF232B" w:rsidP="00DF232B">
            <w:pPr>
              <w:pStyle w:val="ListBullet"/>
            </w:pPr>
            <w:r w:rsidRPr="00DF232B">
              <w:t>temporary degradation which is self-remediating</w:t>
            </w:r>
          </w:p>
          <w:p w:rsidR="00000000" w:rsidRPr="00DF232B" w:rsidP="00DF232B">
            <w:pPr>
              <w:pStyle w:val="ListBullet"/>
            </w:pPr>
            <w:r w:rsidRPr="00DF232B">
              <w:t>speed of change/degradation/loss.</w:t>
            </w:r>
          </w:p>
          <w:p w:rsidR="00000000" w:rsidP="00DF232B">
            <w:pPr>
              <w:pStyle w:val="BodyText"/>
              <w:rPr>
                <w:lang w:val="en-NZ"/>
              </w:rPr>
            </w:pPr>
          </w:p>
        </w:tc>
      </w:tr>
      <w:tr w:rsidTr="00DF232B">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DF232B">
            <w:pPr>
              <w:pStyle w:val="BodyText"/>
              <w:rPr>
                <w:lang w:val="en-NZ"/>
              </w:rPr>
            </w:pPr>
            <w:r w:rsidRPr="00DF232B">
              <w:rPr>
                <w:rStyle w:val="SpecialBold"/>
              </w:rPr>
              <w:t>Appropriate response when impact cannot be prevented includes one or more of</w:t>
            </w:r>
          </w:p>
        </w:tc>
        <w:tc>
          <w:tcPr>
            <w:tcW w:w="6834" w:type="dxa"/>
            <w:tcBorders>
              <w:top w:val="nil"/>
              <w:left w:val="nil"/>
              <w:bottom w:val="nil"/>
              <w:right w:val="nil"/>
            </w:tcBorders>
            <w:tcMar>
              <w:top w:w="0" w:type="dxa"/>
              <w:left w:w="62" w:type="dxa"/>
              <w:bottom w:w="0" w:type="dxa"/>
              <w:right w:w="62" w:type="dxa"/>
            </w:tcMar>
          </w:tcPr>
          <w:p w:rsidR="00000000" w:rsidRPr="00DF232B" w:rsidP="00DF232B">
            <w:pPr>
              <w:pStyle w:val="ListBullet"/>
            </w:pPr>
            <w:r w:rsidRPr="00DF232B">
              <w:t>capture and storage (e.g. scrubbing) and similar ‘end of pipe’ solutions</w:t>
            </w:r>
          </w:p>
          <w:p w:rsidR="00000000" w:rsidRPr="00DF232B" w:rsidP="00DF232B">
            <w:pPr>
              <w:pStyle w:val="ListBullet"/>
            </w:pPr>
            <w:r w:rsidRPr="00DF232B">
              <w:t>dilution/dispersion and similar techniques which reduce concentration but not amount</w:t>
            </w:r>
          </w:p>
          <w:p w:rsidR="00000000" w:rsidRPr="00DF232B" w:rsidP="00DF232B">
            <w:pPr>
              <w:pStyle w:val="ListBullet"/>
            </w:pPr>
            <w:r w:rsidRPr="00DF232B">
              <w:t>capitalising on reve</w:t>
            </w:r>
            <w:r w:rsidRPr="00DF232B">
              <w:t>aled opportunities</w:t>
            </w:r>
          </w:p>
          <w:p w:rsidR="00000000" w:rsidRPr="00DF232B" w:rsidP="00DF232B">
            <w:pPr>
              <w:pStyle w:val="ListBullet"/>
            </w:pPr>
            <w:r w:rsidRPr="00DF232B">
              <w:t>other approaches which meet the sustainability requirements.</w:t>
            </w:r>
          </w:p>
          <w:p w:rsidR="00000000" w:rsidRPr="00DF232B" w:rsidP="00DF232B">
            <w:pPr>
              <w:pStyle w:val="BodyText"/>
            </w:pPr>
          </w:p>
        </w:tc>
      </w:tr>
    </w:tbl>
    <w:p w:rsidR="00000000" w:rsidRPr="00DF232B" w:rsidP="00DF232B">
      <w:pPr>
        <w:pStyle w:val="BodyText"/>
      </w:pPr>
    </w:p>
    <w:p w:rsidR="00000000" w:rsidRPr="00DF232B" w:rsidP="00DF232B">
      <w:pPr>
        <w:pStyle w:val="AllowPageBreak"/>
      </w:pPr>
    </w:p>
    <w:p w:rsidR="00000000" w:rsidRPr="00DF232B" w:rsidP="00DF232B">
      <w:pPr>
        <w:pStyle w:val="Heading1"/>
      </w:pPr>
      <w:bookmarkStart w:id="9" w:name="O_923287"/>
      <w:bookmarkEnd w:id="9"/>
      <w:r w:rsidRPr="00DF232B">
        <w:t>Unit Mapping Information</w:t>
      </w:r>
    </w:p>
    <w:p w:rsidR="00000000" w:rsidRPr="00DF232B" w:rsidP="00054F67">
      <w:pPr>
        <w:pStyle w:val="BodyText"/>
      </w:pPr>
      <w:r w:rsidRPr="00DF232B">
        <w:t xml:space="preserve">Release 1. Supersedes and is equivalent to MSS017001A Analyse and determine organisational risk areas in sustainability. </w:t>
      </w:r>
    </w:p>
    <w:p w:rsidR="00000000" w:rsidRPr="00DF232B" w:rsidP="00DF232B">
      <w:pPr>
        <w:pStyle w:val="Heading1"/>
      </w:pPr>
      <w:bookmarkStart w:id="10" w:name="O_923280"/>
      <w:bookmarkEnd w:id="10"/>
      <w:r w:rsidRPr="00DF232B">
        <w:t>Links</w:t>
      </w:r>
    </w:p>
    <w:p w:rsidR="00000000" w:rsidRPr="00DF232B" w:rsidP="00054F67">
      <w:pPr>
        <w:pStyle w:val="BodyText"/>
      </w:pPr>
      <w:r w:rsidRPr="00DF232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B486A">
        <w:rPr>
          <w:rStyle w:val="Hyperlink"/>
        </w:rPr>
        <w:t>https://vetnet.gov.au/Pages/TrainingDocs.aspx?q=5b04f318-804f-4dc0-9463-c3fb9a3fe998</w:t>
      </w:r>
      <w:r>
        <w:fldChar w:fldCharType="end"/>
      </w:r>
    </w:p>
    <w:p w:rsidR="00000000" w:rsidRPr="00DF232B" w:rsidP="00054F67">
      <w:pPr>
        <w:pStyle w:val="BodyText"/>
        <w:sectPr w:rsidSect="00DF232B">
          <w:headerReference w:type="default" r:id="rId10"/>
          <w:footerReference w:type="default" r:id="rId11"/>
          <w:pgSz w:w="11908" w:h="16833"/>
          <w:pgMar w:top="1702" w:right="1418" w:bottom="1702" w:left="1418" w:header="992" w:footer="992" w:gutter="0"/>
          <w:cols w:space="720"/>
          <w:noEndnote/>
          <w:docGrid w:linePitch="299"/>
        </w:sectPr>
      </w:pPr>
    </w:p>
    <w:p w:rsidR="00000000" w:rsidRPr="00DF232B" w:rsidP="00DF232B">
      <w:pPr>
        <w:pStyle w:val="SuperHeading"/>
      </w:pPr>
      <w:r w:rsidRPr="00DF232B">
        <w:t>Assessment Requirements for MSS017001 Analyse and</w:t>
      </w:r>
      <w:r w:rsidRPr="00DF232B">
        <w:t xml:space="preserve"> determine organisational risk areas in sustainability</w:t>
      </w:r>
    </w:p>
    <w:p w:rsidR="00000000" w:rsidRPr="00DF232B" w:rsidP="00DF232B">
      <w:pPr>
        <w:pStyle w:val="Heading1"/>
      </w:pPr>
      <w:bookmarkStart w:id="11" w:name="O_923282"/>
      <w:bookmarkEnd w:id="11"/>
      <w:r w:rsidRPr="00DF232B">
        <w:t>Modification History</w:t>
      </w:r>
    </w:p>
    <w:p w:rsidR="00000000" w:rsidRPr="00DF232B" w:rsidP="00054F67">
      <w:pPr>
        <w:pStyle w:val="BodyText"/>
      </w:pPr>
      <w:r w:rsidRPr="00DF232B">
        <w:t xml:space="preserve">Release 1. Supersedes and is equivalent to MSS017001A Analyse and determine organisational risk areas in sustainability. </w:t>
      </w:r>
    </w:p>
    <w:p w:rsidR="00000000" w:rsidRPr="00DF232B" w:rsidP="00DF232B">
      <w:pPr>
        <w:pStyle w:val="Heading1"/>
      </w:pPr>
      <w:bookmarkStart w:id="12" w:name="O_923285"/>
      <w:bookmarkEnd w:id="12"/>
      <w:r w:rsidRPr="00DF232B">
        <w:t>Performance Evidence</w:t>
      </w:r>
    </w:p>
    <w:p w:rsidR="00000000" w:rsidRPr="00DF232B" w:rsidP="00054F67">
      <w:pPr>
        <w:pStyle w:val="BodyText"/>
      </w:pPr>
      <w:r w:rsidRPr="00DF232B">
        <w:t>Evidence required to demonstrate competence in this unit must be relevant to and satisfy the requirements of the elements and performance criteria and include the ability, for one or more organisations/sections/departments or value chains, to:</w:t>
      </w:r>
    </w:p>
    <w:p w:rsidR="00000000" w:rsidRPr="00DF232B" w:rsidP="00DF232B">
      <w:pPr>
        <w:pStyle w:val="ListBullet"/>
      </w:pPr>
      <w:r w:rsidRPr="00DF232B">
        <w:t>analyse sus</w:t>
      </w:r>
      <w:r w:rsidRPr="00DF232B">
        <w:t>tainability susceptibilities for a chosen portion of a value chain</w:t>
      </w:r>
    </w:p>
    <w:p w:rsidR="00000000" w:rsidRPr="00DF232B" w:rsidP="00DF232B">
      <w:pPr>
        <w:pStyle w:val="ListBullet"/>
      </w:pPr>
      <w:r w:rsidRPr="00DF232B">
        <w:t>identify sustainability issues of particular relevance to the chosen portion of the value chain</w:t>
      </w:r>
    </w:p>
    <w:p w:rsidR="00000000" w:rsidRPr="00DF232B" w:rsidP="00DF232B">
      <w:pPr>
        <w:pStyle w:val="ListBullet"/>
      </w:pPr>
      <w:r w:rsidRPr="00DF232B">
        <w:t>analyse root cause</w:t>
      </w:r>
    </w:p>
    <w:p w:rsidR="00000000" w:rsidRPr="00DF232B" w:rsidP="00DF232B">
      <w:pPr>
        <w:pStyle w:val="ListBullet"/>
      </w:pPr>
      <w:r w:rsidRPr="00DF232B">
        <w:t xml:space="preserve">identify appropriate responses </w:t>
      </w:r>
    </w:p>
    <w:p w:rsidR="00000000" w:rsidRPr="00DF232B" w:rsidP="00DF232B">
      <w:pPr>
        <w:pStyle w:val="ListBullet"/>
      </w:pPr>
      <w:r w:rsidRPr="00DF232B">
        <w:t>communicate the above, as appropriate.</w:t>
      </w:r>
    </w:p>
    <w:p w:rsidR="00000000" w:rsidRPr="00DF232B" w:rsidP="00DF232B">
      <w:pPr>
        <w:pStyle w:val="AllowPageBreak"/>
      </w:pPr>
    </w:p>
    <w:p w:rsidR="00000000" w:rsidRPr="00DF232B" w:rsidP="00DF232B">
      <w:pPr>
        <w:pStyle w:val="Heading1"/>
      </w:pPr>
      <w:bookmarkStart w:id="13" w:name="O_923284"/>
      <w:bookmarkEnd w:id="13"/>
      <w:r w:rsidRPr="00DF232B">
        <w:t>Knowledge Evidence</w:t>
      </w:r>
    </w:p>
    <w:p w:rsidR="00000000" w:rsidRPr="00DF232B" w:rsidP="00054F67">
      <w:pPr>
        <w:pStyle w:val="BodyText"/>
      </w:pPr>
      <w:r w:rsidRPr="00DF232B">
        <w:t>Must provide evidence that demonstrates sufficient knowledge to interact with relevant personnel and be able to determine organisational risk areas including knowledge of:</w:t>
      </w:r>
    </w:p>
    <w:p w:rsidR="00000000" w:rsidRPr="00DF232B" w:rsidP="00DF232B">
      <w:pPr>
        <w:pStyle w:val="ListBullet"/>
      </w:pPr>
      <w:r w:rsidRPr="00DF232B">
        <w:t xml:space="preserve">process and changes which occur at each step in </w:t>
      </w:r>
      <w:r w:rsidRPr="00DF232B">
        <w:t>selected value chain</w:t>
      </w:r>
    </w:p>
    <w:p w:rsidR="00000000" w:rsidRPr="00DF232B" w:rsidP="00DF232B">
      <w:pPr>
        <w:pStyle w:val="ListBullet"/>
      </w:pPr>
      <w:r w:rsidRPr="00DF232B">
        <w:t>principles of sustainability</w:t>
      </w:r>
    </w:p>
    <w:p w:rsidR="00000000" w:rsidRPr="00DF232B" w:rsidP="00DF232B">
      <w:pPr>
        <w:pStyle w:val="ListBullet"/>
      </w:pPr>
      <w:r w:rsidRPr="00DF232B">
        <w:t>causes of climate change, impacts of greenhouse gases</w:t>
      </w:r>
    </w:p>
    <w:p w:rsidR="00000000" w:rsidRPr="00DF232B" w:rsidP="00DF232B">
      <w:pPr>
        <w:pStyle w:val="ListBullet"/>
      </w:pPr>
      <w:r w:rsidRPr="00DF232B">
        <w:t>sources and impacts of pollution and other ecological degradation and methods of eliminating, controlling or reducing them</w:t>
      </w:r>
    </w:p>
    <w:p w:rsidR="00000000" w:rsidRPr="00DF232B" w:rsidP="00DF232B">
      <w:pPr>
        <w:pStyle w:val="ListBullet"/>
      </w:pPr>
      <w:r w:rsidRPr="00DF232B">
        <w:t>causes of adverse social impa</w:t>
      </w:r>
      <w:r w:rsidRPr="00DF232B">
        <w:t>cts and methods of eliminating, controlling or reducing them</w:t>
      </w:r>
    </w:p>
    <w:p w:rsidR="00000000" w:rsidRPr="00DF232B" w:rsidP="00DF232B">
      <w:pPr>
        <w:pStyle w:val="ListBullet"/>
      </w:pPr>
      <w:r w:rsidRPr="00DF232B">
        <w:t>causes of adverse economic impacts and methods of eliminating, controlling or reducing them</w:t>
      </w:r>
    </w:p>
    <w:p w:rsidR="00000000" w:rsidRPr="00DF232B" w:rsidP="00DF232B">
      <w:pPr>
        <w:pStyle w:val="ListBullet"/>
      </w:pPr>
      <w:r w:rsidRPr="00DF232B">
        <w:t>root cause analysis (RCA)</w:t>
      </w:r>
    </w:p>
    <w:p w:rsidR="00000000" w:rsidRPr="00DF232B" w:rsidP="00DF232B">
      <w:pPr>
        <w:pStyle w:val="ListBullet"/>
      </w:pPr>
      <w:r w:rsidRPr="00DF232B">
        <w:t>hierarchy of hazard control and its application to sustainability hazards</w:t>
      </w:r>
    </w:p>
    <w:p w:rsidR="00000000" w:rsidRPr="00DF232B" w:rsidP="00DF232B">
      <w:pPr>
        <w:pStyle w:val="ListBullet"/>
      </w:pPr>
      <w:r w:rsidRPr="00DF232B">
        <w:t>rel</w:t>
      </w:r>
      <w:r w:rsidRPr="00DF232B">
        <w:t>evant legislation, regulation and protocols, government incentives and other initiatives</w:t>
      </w:r>
    </w:p>
    <w:p w:rsidR="00000000" w:rsidRPr="00DF232B" w:rsidP="00DF232B">
      <w:pPr>
        <w:pStyle w:val="ListBullet"/>
      </w:pPr>
      <w:r w:rsidRPr="00DF232B">
        <w:t>risk analysis and its application to sustainability risks.</w:t>
      </w:r>
    </w:p>
    <w:p w:rsidR="00000000" w:rsidRPr="00DF232B" w:rsidP="00DF232B">
      <w:pPr>
        <w:pStyle w:val="AllowPageBreak"/>
      </w:pPr>
    </w:p>
    <w:p w:rsidR="00000000" w:rsidRPr="00DF232B" w:rsidP="00DF232B">
      <w:pPr>
        <w:pStyle w:val="Heading1"/>
      </w:pPr>
      <w:bookmarkStart w:id="14" w:name="O_923283"/>
      <w:bookmarkEnd w:id="14"/>
      <w:r w:rsidRPr="00DF232B">
        <w:t>Assessment Conditions</w:t>
      </w:r>
    </w:p>
    <w:p w:rsidR="00000000" w:rsidRPr="00DF232B" w:rsidP="00DF232B">
      <w:pPr>
        <w:pStyle w:val="ListBullet"/>
      </w:pPr>
      <w:r w:rsidRPr="00DF232B">
        <w:t>The unit should be assessed holistically and the judgement of compet</w:t>
      </w:r>
      <w:r w:rsidRPr="00DF232B">
        <w:t xml:space="preserve">ence shall be based on a holistic assessment of the evidence. </w:t>
      </w:r>
    </w:p>
    <w:p w:rsidR="00000000" w:rsidRPr="00DF232B" w:rsidP="00DF232B">
      <w:pPr>
        <w:pStyle w:val="ListBullet"/>
      </w:pPr>
      <w:r w:rsidRPr="00DF232B">
        <w:t>The collection of performance evidence is best done from a report and/or folio of evidence drawn from:</w:t>
      </w:r>
    </w:p>
    <w:p w:rsidR="00000000" w:rsidRPr="00DF232B" w:rsidP="00DF232B">
      <w:pPr>
        <w:pStyle w:val="ListBullet2"/>
      </w:pPr>
      <w:r w:rsidRPr="00DF232B">
        <w:t>a single project which provides sufficient evidence of the requirements of all the elemen</w:t>
      </w:r>
      <w:r w:rsidRPr="00DF232B">
        <w:t>ts and performance criteria</w:t>
      </w:r>
    </w:p>
    <w:p w:rsidR="00000000" w:rsidRPr="00DF232B" w:rsidP="00DF232B">
      <w:pPr>
        <w:pStyle w:val="ListBullet2"/>
      </w:pPr>
      <w:r w:rsidRPr="00DF232B">
        <w:t>multiple smaller projects which together provide sufficient evidence of the requirements of all the elements and performance criteria.</w:t>
      </w:r>
    </w:p>
    <w:p w:rsidR="00000000" w:rsidRPr="00DF232B" w:rsidP="00DF232B">
      <w:pPr>
        <w:pStyle w:val="ListBullet"/>
      </w:pPr>
      <w:r w:rsidRPr="00DF232B">
        <w:t>A third-party report, or similar, may be needed to testify to the work done by the individual, particularly when the project has been done as part of a project team.</w:t>
      </w:r>
    </w:p>
    <w:p w:rsidR="00000000" w:rsidRPr="00DF232B" w:rsidP="00DF232B">
      <w:pPr>
        <w:pStyle w:val="ListBullet"/>
      </w:pPr>
      <w:r w:rsidRPr="00DF232B">
        <w:t>Assessment should use a real project where the analysis of an organisation’s interaction w</w:t>
      </w:r>
      <w:r w:rsidRPr="00DF232B">
        <w:t xml:space="preserve">ith its environment is carried out to determine risks and vulnerabilities for an operational workplace. </w:t>
      </w:r>
    </w:p>
    <w:p w:rsidR="00000000" w:rsidRPr="00DF232B" w:rsidP="00DF232B">
      <w:pPr>
        <w:pStyle w:val="ListBullet"/>
      </w:pPr>
      <w:r w:rsidRPr="00DF232B">
        <w:t xml:space="preserve">Knowledge evidence may be collected concurrently with performance evidence or through an independent process such as workbooks, written assessments or </w:t>
      </w:r>
      <w:r w:rsidRPr="00DF232B">
        <w:t>interviews (provided a record is kept).</w:t>
      </w:r>
    </w:p>
    <w:p w:rsidR="00000000" w:rsidRPr="00DF232B" w:rsidP="00DF232B">
      <w:pPr>
        <w:pStyle w:val="ListBullet"/>
      </w:pPr>
      <w:r w:rsidRPr="00DF232B">
        <w:t>Assessment processes and techniques must be appropriate to the language, literacy and numeracy requirements of the work being performed and the needs of the candidate.</w:t>
      </w:r>
    </w:p>
    <w:p w:rsidR="00000000" w:rsidRPr="00DF232B" w:rsidP="00DF232B">
      <w:pPr>
        <w:pStyle w:val="ListBullet"/>
      </w:pPr>
      <w:r w:rsidRPr="00DF232B">
        <w:t>Conditions for assessment must include access to</w:t>
      </w:r>
      <w:r w:rsidRPr="00DF232B">
        <w:t xml:space="preserve"> all tools, equipment, materials and documentation required, including relevant workplace procedures, product and manufacturing specifications associated with this unit.</w:t>
      </w:r>
    </w:p>
    <w:p w:rsidR="00000000" w:rsidRPr="00DF232B" w:rsidP="00DF232B">
      <w:pPr>
        <w:pStyle w:val="ListBullet"/>
      </w:pPr>
      <w:r w:rsidRPr="00DF232B">
        <w:t xml:space="preserve">Foundation skills are integral to competent performance of the unit and should not be </w:t>
      </w:r>
      <w:r w:rsidRPr="00DF232B">
        <w:t>assessed separately.</w:t>
      </w:r>
    </w:p>
    <w:p w:rsidR="00000000" w:rsidRPr="00DF232B" w:rsidP="00DF232B">
      <w:pPr>
        <w:pStyle w:val="ListBullet"/>
      </w:pPr>
      <w:r w:rsidRPr="00DF232B">
        <w:t xml:space="preserve">Assessors must satisfy the assessor competency requirements that are in place at the time of the assessment as set by the VET regulator.  </w:t>
      </w:r>
    </w:p>
    <w:p w:rsidR="00000000" w:rsidRPr="00DF232B" w:rsidP="00DF232B">
      <w:pPr>
        <w:pStyle w:val="ListBullet"/>
      </w:pPr>
      <w:r w:rsidRPr="00DF232B">
        <w:t>The assessor must demonstrate both technical competency and currency.</w:t>
      </w:r>
    </w:p>
    <w:p w:rsidR="00000000" w:rsidRPr="00DF232B" w:rsidP="00DF232B">
      <w:pPr>
        <w:pStyle w:val="ListBullet"/>
      </w:pPr>
      <w:r w:rsidRPr="00DF232B">
        <w:t>Technical competence can b</w:t>
      </w:r>
      <w:r w:rsidRPr="00DF232B">
        <w:t>e demonstrated through:</w:t>
      </w:r>
    </w:p>
    <w:p w:rsidR="00000000" w:rsidRPr="00DF232B" w:rsidP="00DF232B">
      <w:pPr>
        <w:pStyle w:val="ListBullet2"/>
      </w:pPr>
      <w:r w:rsidRPr="00DF232B">
        <w:t>relevant VET or other qualification/Statement of Attainment AND/OR</w:t>
      </w:r>
    </w:p>
    <w:p w:rsidR="00000000" w:rsidRPr="00DF232B" w:rsidP="00DF232B">
      <w:pPr>
        <w:pStyle w:val="ListBullet2"/>
      </w:pPr>
      <w:r w:rsidRPr="00DF232B">
        <w:t xml:space="preserve">relevant workplace experience </w:t>
      </w:r>
    </w:p>
    <w:p w:rsidR="00000000" w:rsidRPr="00DF232B" w:rsidP="00DF232B">
      <w:pPr>
        <w:pStyle w:val="ListBullet"/>
      </w:pPr>
      <w:r w:rsidRPr="00DF232B">
        <w:t>Currency can be demonstrated through:</w:t>
      </w:r>
    </w:p>
    <w:p w:rsidR="00000000" w:rsidRPr="00DF232B" w:rsidP="00DF232B">
      <w:pPr>
        <w:pStyle w:val="ListBullet2"/>
      </w:pPr>
      <w:r w:rsidRPr="00DF232B">
        <w:t>performing the competency being assessed as part of current employment OR</w:t>
      </w:r>
    </w:p>
    <w:p w:rsidR="00000000" w:rsidRPr="00DF232B" w:rsidP="00DF232B">
      <w:pPr>
        <w:pStyle w:val="ListBullet2"/>
      </w:pPr>
      <w:r w:rsidRPr="00DF232B">
        <w:t>having consulted with an organisation providing relevant environmental monitoring, management or technology services about performing the competency being assessed within the last twelve months.</w:t>
      </w:r>
    </w:p>
    <w:p w:rsidR="00000000" w:rsidRPr="00DF232B" w:rsidP="00DF232B">
      <w:pPr>
        <w:pStyle w:val="AllowPageBreak"/>
      </w:pPr>
    </w:p>
    <w:p w:rsidR="00000000" w:rsidRPr="00DF232B" w:rsidP="00DF232B">
      <w:pPr>
        <w:pStyle w:val="Heading1"/>
      </w:pPr>
      <w:bookmarkStart w:id="15" w:name="O_923281"/>
      <w:bookmarkEnd w:id="15"/>
      <w:r w:rsidRPr="00DF232B">
        <w:t>Links</w:t>
      </w:r>
    </w:p>
    <w:p w:rsidR="00000000" w:rsidRPr="00DF232B" w:rsidP="00054F67">
      <w:pPr>
        <w:pStyle w:val="BodyText"/>
      </w:pPr>
      <w:r w:rsidRPr="00DF232B">
        <w:t>Companion Volume implementation guides</w:t>
      </w:r>
      <w:r w:rsidRPr="00DF232B">
        <w:t xml:space="preserve"> are found in VETNet - </w:t>
      </w:r>
      <w:r>
        <w:fldChar w:fldCharType="begin"/>
      </w:r>
      <w:r>
        <w:instrText xml:space="preserve"> HYPERLINK "https://vetnet.gov.au/Pages/TrainingDocs.aspx?q=5b04f318-804f-4dc0-9463-c3fb9a3fe998" </w:instrText>
      </w:r>
      <w:r>
        <w:fldChar w:fldCharType="separate"/>
      </w:r>
      <w:r w:rsidRPr="00FB486A">
        <w:rPr>
          <w:rStyle w:val="Hyperlink"/>
        </w:rPr>
        <w:t>https://vetnet.gov.au/Pages/TrainingDocs.aspx?q=5b04f318-804f-4dc0-9463-c3fb9a3fe998</w:t>
      </w:r>
      <w:r>
        <w:fldChar w:fldCharType="end"/>
      </w:r>
    </w:p>
    <w:p w:rsidR="00000000" w:rsidRPr="00DF232B" w:rsidP="00DF232B"/>
    <w:sectPr w:rsidSect="00DF23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2B" w:rsidRPr="00054F67" w:rsidP="00054F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67" w:rsidP="00DF23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4F67" w:rsidP="00DF23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54F67" w:rsidP="00DF23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2B" w:rsidP="00DF232B">
    <w:pPr>
      <w:pStyle w:val="Footer"/>
      <w:framePr w:wrap="around"/>
    </w:pPr>
    <w:r>
      <w:fldChar w:fldCharType="begin"/>
    </w:r>
    <w:r>
      <w:instrText xml:space="preserve"> DOCPROPERTY  Subject  \* MERGEFORMAT </w:instrText>
    </w:r>
    <w:r>
      <w:fldChar w:fldCharType="separate"/>
    </w:r>
    <w:r w:rsidR="00054F67">
      <w:t>Approved</w:t>
    </w:r>
    <w:r w:rsidR="00054F67">
      <w:fldChar w:fldCharType="end"/>
    </w:r>
    <w:r>
      <w:tab/>
      <w:t xml:space="preserve">Page </w:t>
    </w:r>
    <w:r>
      <w:fldChar w:fldCharType="begin"/>
    </w:r>
    <w:r>
      <w:instrText xml:space="preserve"> PAGE  \* Arabic  \* MERGEFORMAT </w:instrText>
    </w:r>
    <w:r>
      <w:fldChar w:fldCharType="separate"/>
    </w:r>
    <w:r w:rsidR="00054F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4F67">
      <w:rPr>
        <w:noProof/>
      </w:rPr>
      <w:t>5</w:t>
    </w:r>
    <w:r>
      <w:rPr>
        <w:noProof/>
      </w:rPr>
      <w:fldChar w:fldCharType="end"/>
    </w:r>
  </w:p>
  <w:p w:rsidR="00DF232B" w:rsidP="00DF232B">
    <w:pPr>
      <w:pStyle w:val="Footer"/>
      <w:framePr w:wrap="around"/>
    </w:pPr>
    <w:r>
      <w:t xml:space="preserve">© Commonwealth of Australia, </w:t>
    </w:r>
    <w:r>
      <w:fldChar w:fldCharType="begin"/>
    </w:r>
    <w:r>
      <w:instrText xml:space="preserve"> DATE  \@ "yyyy"  \* MERGEFORMAT </w:instrText>
    </w:r>
    <w:r>
      <w:fldChar w:fldCharType="separate"/>
    </w:r>
    <w:r w:rsidR="00054F67">
      <w:rPr>
        <w:noProof/>
      </w:rPr>
      <w:t>2025</w:t>
    </w:r>
    <w:r>
      <w:fldChar w:fldCharType="end"/>
    </w:r>
    <w:r>
      <w:tab/>
    </w:r>
    <w:r>
      <w:fldChar w:fldCharType="begin"/>
    </w:r>
    <w:r>
      <w:instrText xml:space="preserve"> DOCPROPERTY  Author  \* MERGEFORMAT </w:instrText>
    </w:r>
    <w:r>
      <w:fldChar w:fldCharType="separate"/>
    </w:r>
    <w:r w:rsidR="00054F67">
      <w:t>Manufacturing Industry Skills Alliance</w:t>
    </w:r>
    <w:r w:rsidR="00054F67">
      <w:fldChar w:fldCharType="end"/>
    </w:r>
  </w:p>
  <w:p w:rsidR="00DF232B" w:rsidP="00DF23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32B" w:rsidRPr="00054F67" w:rsidP="00054F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67" w:rsidRPr="002D2AF8" w:rsidP="00DF232B">
    <w:pPr>
      <w:pStyle w:val="Header"/>
      <w:framePr w:wrap="around"/>
    </w:pPr>
    <w:r>
      <w:fldChar w:fldCharType="begin"/>
    </w:r>
    <w:r>
      <w:instrText xml:space="preserve"> TITLE   \* MERGEFORMAT </w:instrText>
    </w:r>
    <w:r>
      <w:fldChar w:fldCharType="separate"/>
    </w:r>
    <w:r>
      <w:t>MSS017001 Analyse and determine organisational risk areas in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4F67" w:rsidP="00DF23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2B" w:rsidRPr="002D2AF8" w:rsidP="00DF232B">
    <w:pPr>
      <w:pStyle w:val="Header"/>
      <w:framePr w:wrap="around"/>
    </w:pPr>
    <w:r>
      <w:fldChar w:fldCharType="begin"/>
    </w:r>
    <w:r>
      <w:instrText xml:space="preserve"> TITLE   \* MERGEFORMAT </w:instrText>
    </w:r>
    <w:r>
      <w:fldChar w:fldCharType="separate"/>
    </w:r>
    <w:r w:rsidR="00054F67">
      <w:t>MSS017001 Analyse and determine organisational risk areas in sustainability</w:t>
    </w:r>
    <w:r w:rsidR="00054F67">
      <w:fldChar w:fldCharType="end"/>
    </w:r>
    <w:r>
      <w:tab/>
      <w:t xml:space="preserve">Date this document was generated: </w:t>
    </w:r>
    <w:r>
      <w:fldChar w:fldCharType="begin"/>
    </w:r>
    <w:r>
      <w:instrText xml:space="preserve"> CREATEDATE  \@ "d MMMM yyyy"  \* MERGEFORMAT </w:instrText>
    </w:r>
    <w:r>
      <w:fldChar w:fldCharType="separate"/>
    </w:r>
    <w:r w:rsidR="00054F67">
      <w:rPr>
        <w:noProof/>
      </w:rPr>
      <w:t>2 March 2025</w:t>
    </w:r>
    <w:r>
      <w:fldChar w:fldCharType="end"/>
    </w:r>
  </w:p>
  <w:p w:rsidR="00DF232B" w:rsidP="00DF23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781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F65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FA0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3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32B"/>
    <w:pPr>
      <w:spacing w:before="360" w:after="60"/>
      <w:outlineLvl w:val="0"/>
    </w:pPr>
    <w:rPr>
      <w:sz w:val="32"/>
    </w:rPr>
  </w:style>
  <w:style w:type="paragraph" w:styleId="Heading2">
    <w:name w:val="heading 2"/>
    <w:basedOn w:val="HeadingBase"/>
    <w:next w:val="BodyText"/>
    <w:link w:val="Heading2Char"/>
    <w:qFormat/>
    <w:rsid w:val="00DF232B"/>
    <w:pPr>
      <w:keepLines/>
      <w:spacing w:before="240" w:after="120"/>
      <w:outlineLvl w:val="1"/>
    </w:pPr>
    <w:rPr>
      <w:sz w:val="28"/>
      <w:szCs w:val="40"/>
    </w:rPr>
  </w:style>
  <w:style w:type="paragraph" w:styleId="Heading3">
    <w:name w:val="heading 3"/>
    <w:basedOn w:val="HeadingBase"/>
    <w:next w:val="BodyText"/>
    <w:link w:val="Heading3Char"/>
    <w:qFormat/>
    <w:rsid w:val="00DF232B"/>
    <w:pPr>
      <w:spacing w:before="180" w:after="120"/>
      <w:outlineLvl w:val="2"/>
    </w:pPr>
    <w:rPr>
      <w:spacing w:val="-10"/>
      <w:kern w:val="32"/>
    </w:rPr>
  </w:style>
  <w:style w:type="paragraph" w:styleId="Heading4">
    <w:name w:val="heading 4"/>
    <w:basedOn w:val="HeadingBase"/>
    <w:next w:val="BodyText"/>
    <w:link w:val="Heading4Char"/>
    <w:qFormat/>
    <w:rsid w:val="00DF232B"/>
    <w:pPr>
      <w:spacing w:before="160" w:after="120"/>
      <w:outlineLvl w:val="3"/>
    </w:pPr>
    <w:rPr>
      <w:sz w:val="22"/>
    </w:rPr>
  </w:style>
  <w:style w:type="paragraph" w:styleId="Heading5">
    <w:name w:val="heading 5"/>
    <w:basedOn w:val="HeadingBase"/>
    <w:next w:val="Normal"/>
    <w:link w:val="Heading5Char"/>
    <w:qFormat/>
    <w:rsid w:val="00DF232B"/>
    <w:pPr>
      <w:spacing w:before="80"/>
      <w:outlineLvl w:val="4"/>
    </w:pPr>
    <w:rPr>
      <w:color w:val="918585"/>
      <w:sz w:val="20"/>
    </w:rPr>
  </w:style>
  <w:style w:type="paragraph" w:styleId="Heading6">
    <w:name w:val="heading 6"/>
    <w:basedOn w:val="HeadingBase"/>
    <w:next w:val="Normal"/>
    <w:link w:val="Heading6Char"/>
    <w:qFormat/>
    <w:rsid w:val="00DF232B"/>
    <w:pPr>
      <w:spacing w:before="60"/>
      <w:outlineLvl w:val="5"/>
    </w:pPr>
    <w:rPr>
      <w:color w:val="918585"/>
      <w:sz w:val="20"/>
    </w:rPr>
  </w:style>
  <w:style w:type="paragraph" w:styleId="Heading7">
    <w:name w:val="heading 7"/>
    <w:basedOn w:val="Normal"/>
    <w:next w:val="Normal"/>
    <w:link w:val="Heading7Char"/>
    <w:qFormat/>
    <w:rsid w:val="00DF232B"/>
    <w:pPr>
      <w:ind w:left="720"/>
      <w:outlineLvl w:val="6"/>
    </w:pPr>
    <w:rPr>
      <w:i/>
    </w:rPr>
  </w:style>
  <w:style w:type="paragraph" w:styleId="Heading8">
    <w:name w:val="heading 8"/>
    <w:basedOn w:val="Normal"/>
    <w:next w:val="Normal"/>
    <w:link w:val="Heading8Char"/>
    <w:qFormat/>
    <w:rsid w:val="00DF232B"/>
    <w:pPr>
      <w:ind w:left="720"/>
      <w:outlineLvl w:val="7"/>
    </w:pPr>
    <w:rPr>
      <w:i/>
    </w:rPr>
  </w:style>
  <w:style w:type="paragraph" w:styleId="Heading9">
    <w:name w:val="heading 9"/>
    <w:basedOn w:val="Normal"/>
    <w:next w:val="Normal"/>
    <w:link w:val="Heading9Char"/>
    <w:qFormat/>
    <w:rsid w:val="00DF232B"/>
    <w:pPr>
      <w:ind w:left="720"/>
      <w:outlineLvl w:val="8"/>
    </w:pPr>
    <w:rPr>
      <w:i/>
    </w:rPr>
  </w:style>
  <w:style w:type="character" w:default="1" w:styleId="DefaultParagraphFont">
    <w:name w:val="Default Paragraph Font"/>
    <w:uiPriority w:val="1"/>
    <w:unhideWhenUsed/>
    <w:rsid w:val="00DF23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32B"/>
  </w:style>
  <w:style w:type="character" w:customStyle="1" w:styleId="Heading1Char">
    <w:name w:val="Heading 1 Char"/>
    <w:basedOn w:val="DefaultParagraphFont"/>
    <w:link w:val="Heading1"/>
    <w:rsid w:val="00DF232B"/>
    <w:rPr>
      <w:rFonts w:ascii="Times New Roman" w:eastAsia="Times New Roman" w:hAnsi="Times New Roman" w:cs="Times New Roman"/>
      <w:b/>
      <w:sz w:val="32"/>
      <w:szCs w:val="20"/>
      <w:lang w:eastAsia="en-US"/>
    </w:rPr>
  </w:style>
  <w:style w:type="paragraph" w:styleId="BodyText">
    <w:name w:val="Body Text"/>
    <w:basedOn w:val="Normal"/>
    <w:link w:val="BodyTextChar"/>
    <w:rsid w:val="00DF23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32B"/>
    <w:rPr>
      <w:rFonts w:ascii="Times New Roman" w:eastAsia="Times New Roman" w:hAnsi="Times New Roman" w:cs="Times New Roman"/>
      <w:sz w:val="24"/>
      <w:lang w:eastAsia="en-US"/>
    </w:rPr>
  </w:style>
  <w:style w:type="paragraph" w:styleId="ListBullet">
    <w:name w:val="List Bullet"/>
    <w:basedOn w:val="List"/>
    <w:rsid w:val="00DF232B"/>
    <w:pPr>
      <w:numPr>
        <w:numId w:val="12"/>
      </w:numPr>
      <w:tabs>
        <w:tab w:val="clear" w:pos="340"/>
      </w:tabs>
      <w:spacing w:before="40" w:after="40"/>
    </w:pPr>
  </w:style>
  <w:style w:type="character" w:customStyle="1" w:styleId="SpecialBold">
    <w:name w:val="Special Bold"/>
    <w:basedOn w:val="DefaultParagraphFont"/>
    <w:rsid w:val="00DF232B"/>
    <w:rPr>
      <w:b/>
      <w:spacing w:val="0"/>
    </w:rPr>
  </w:style>
  <w:style w:type="paragraph" w:styleId="ListBullet2">
    <w:name w:val="List Bullet 2"/>
    <w:basedOn w:val="List2"/>
    <w:rsid w:val="00DF232B"/>
    <w:pPr>
      <w:numPr>
        <w:numId w:val="13"/>
      </w:numPr>
      <w:tabs>
        <w:tab w:val="clear" w:pos="680"/>
      </w:tabs>
    </w:pPr>
  </w:style>
  <w:style w:type="paragraph" w:customStyle="1" w:styleId="SuperHeading">
    <w:name w:val="SuperHeading"/>
    <w:basedOn w:val="Normal"/>
    <w:rsid w:val="00DF232B"/>
    <w:pPr>
      <w:spacing w:before="240" w:after="120"/>
      <w:outlineLvl w:val="0"/>
    </w:pPr>
    <w:rPr>
      <w:rFonts w:ascii="Times New Roman" w:hAnsi="Times New Roman"/>
      <w:b/>
      <w:sz w:val="32"/>
    </w:rPr>
  </w:style>
  <w:style w:type="paragraph" w:customStyle="1" w:styleId="AllowPageBreak">
    <w:name w:val="AllowPageBreak"/>
    <w:rsid w:val="00DF23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23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3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3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3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3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3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3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32B"/>
    <w:rPr>
      <w:rFonts w:ascii="Courier New" w:eastAsia="Times New Roman" w:hAnsi="Courier New" w:cs="Times New Roman"/>
      <w:i/>
      <w:szCs w:val="20"/>
      <w:lang w:eastAsia="en-US"/>
    </w:rPr>
  </w:style>
  <w:style w:type="paragraph" w:customStyle="1" w:styleId="HeadingBase">
    <w:name w:val="Heading Base"/>
    <w:rsid w:val="00DF23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32B"/>
    <w:pPr>
      <w:tabs>
        <w:tab w:val="right" w:leader="dot" w:pos="9072"/>
      </w:tabs>
      <w:ind w:left="567"/>
    </w:pPr>
    <w:rPr>
      <w:szCs w:val="22"/>
    </w:rPr>
  </w:style>
  <w:style w:type="paragraph" w:customStyle="1" w:styleId="TOCBase">
    <w:name w:val="TOC Base"/>
    <w:rsid w:val="00DF23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32B"/>
    <w:pPr>
      <w:tabs>
        <w:tab w:val="right" w:leader="dot" w:pos="9072"/>
      </w:tabs>
      <w:spacing w:before="40" w:after="40"/>
      <w:ind w:left="284"/>
    </w:pPr>
    <w:rPr>
      <w:rFonts w:ascii="Times New Roman" w:hAnsi="Times New Roman"/>
    </w:rPr>
  </w:style>
  <w:style w:type="paragraph" w:styleId="TOC1">
    <w:name w:val="toc 1"/>
    <w:basedOn w:val="TOCBase"/>
    <w:next w:val="Normal"/>
    <w:rsid w:val="00DF23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3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32B"/>
    <w:rPr>
      <w:rFonts w:ascii="Times New Roman" w:eastAsia="Times New Roman" w:hAnsi="Times New Roman" w:cs="Times New Roman"/>
      <w:sz w:val="16"/>
      <w:lang w:eastAsia="en-US"/>
    </w:rPr>
  </w:style>
  <w:style w:type="paragraph" w:styleId="Title">
    <w:name w:val="Title"/>
    <w:basedOn w:val="HeadingBase"/>
    <w:link w:val="TitleChar"/>
    <w:qFormat/>
    <w:rsid w:val="00DF232B"/>
    <w:pPr>
      <w:spacing w:before="5040"/>
      <w:jc w:val="center"/>
    </w:pPr>
    <w:rPr>
      <w:sz w:val="48"/>
      <w:szCs w:val="72"/>
      <w:lang w:val="en-US"/>
    </w:rPr>
  </w:style>
  <w:style w:type="character" w:customStyle="1" w:styleId="TitleChar">
    <w:name w:val="Title Char"/>
    <w:basedOn w:val="DefaultParagraphFont"/>
    <w:link w:val="Title"/>
    <w:rsid w:val="00DF23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32B"/>
    <w:pPr>
      <w:tabs>
        <w:tab w:val="left" w:pos="3600"/>
        <w:tab w:val="left" w:pos="3958"/>
      </w:tabs>
    </w:pPr>
  </w:style>
  <w:style w:type="paragraph" w:styleId="List">
    <w:name w:val="List"/>
    <w:basedOn w:val="BodyText"/>
    <w:next w:val="BodyText"/>
    <w:rsid w:val="00DF232B"/>
    <w:pPr>
      <w:tabs>
        <w:tab w:val="left" w:pos="340"/>
      </w:tabs>
      <w:spacing w:before="60" w:after="60"/>
      <w:ind w:left="340" w:hanging="340"/>
    </w:pPr>
  </w:style>
  <w:style w:type="paragraph" w:customStyle="1" w:styleId="Note">
    <w:name w:val="Note"/>
    <w:basedOn w:val="BodyText"/>
    <w:rsid w:val="00DF23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32B"/>
    <w:pPr>
      <w:framePr w:wrap="auto" w:hAnchor="text" w:y="6049"/>
    </w:pPr>
    <w:rPr>
      <w:color w:val="000000"/>
      <w:sz w:val="40"/>
    </w:rPr>
  </w:style>
  <w:style w:type="paragraph" w:customStyle="1" w:styleId="TOCTitle">
    <w:name w:val="TOCTitle"/>
    <w:basedOn w:val="Heading1"/>
    <w:rsid w:val="00DF232B"/>
    <w:pPr>
      <w:spacing w:after="240"/>
      <w:jc w:val="center"/>
      <w:outlineLvl w:val="9"/>
    </w:pPr>
    <w:rPr>
      <w:caps/>
    </w:rPr>
  </w:style>
  <w:style w:type="paragraph" w:customStyle="1" w:styleId="Version">
    <w:name w:val="Version"/>
    <w:rsid w:val="00DF23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32B"/>
    <w:pPr>
      <w:keepNext w:val="0"/>
      <w:tabs>
        <w:tab w:val="right" w:pos="4176"/>
      </w:tabs>
      <w:ind w:left="198" w:hanging="198"/>
    </w:pPr>
    <w:rPr>
      <w:rFonts w:ascii="Garamond" w:hAnsi="Garamond"/>
    </w:rPr>
  </w:style>
  <w:style w:type="paragraph" w:styleId="IndexHeading">
    <w:name w:val="index heading"/>
    <w:basedOn w:val="Normal"/>
    <w:next w:val="Index1"/>
    <w:semiHidden/>
    <w:rsid w:val="00DF232B"/>
    <w:pPr>
      <w:spacing w:before="120" w:after="120"/>
    </w:pPr>
    <w:rPr>
      <w:rFonts w:ascii="Arial" w:hAnsi="Arial"/>
      <w:b/>
      <w:color w:val="918585"/>
      <w:sz w:val="24"/>
    </w:rPr>
  </w:style>
  <w:style w:type="paragraph" w:styleId="Header">
    <w:name w:val="header"/>
    <w:basedOn w:val="Normal"/>
    <w:link w:val="HeaderChar"/>
    <w:rsid w:val="00DF23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32B"/>
    <w:rPr>
      <w:rFonts w:ascii="Times New Roman" w:eastAsia="Times New Roman" w:hAnsi="Times New Roman" w:cs="Times New Roman"/>
      <w:sz w:val="16"/>
      <w:szCs w:val="20"/>
      <w:lang w:val="en-GB" w:eastAsia="en-US"/>
    </w:rPr>
  </w:style>
  <w:style w:type="paragraph" w:customStyle="1" w:styleId="Chapter">
    <w:name w:val="Chapter"/>
    <w:basedOn w:val="Normal"/>
    <w:rsid w:val="00DF232B"/>
    <w:pPr>
      <w:spacing w:before="240"/>
    </w:pPr>
    <w:rPr>
      <w:rFonts w:ascii="Times New Roman" w:hAnsi="Times New Roman"/>
      <w:smallCaps/>
      <w:spacing w:val="80"/>
      <w:sz w:val="28"/>
    </w:rPr>
  </w:style>
  <w:style w:type="paragraph" w:customStyle="1" w:styleId="InChapter">
    <w:name w:val="InChapter"/>
    <w:basedOn w:val="Heading3"/>
    <w:rsid w:val="00DF232B"/>
    <w:pPr>
      <w:spacing w:after="240"/>
      <w:outlineLvl w:val="9"/>
    </w:pPr>
    <w:rPr>
      <w:noProof/>
    </w:rPr>
  </w:style>
  <w:style w:type="paragraph" w:styleId="Index2">
    <w:name w:val="index 2"/>
    <w:basedOn w:val="Normal"/>
    <w:next w:val="Normal"/>
    <w:semiHidden/>
    <w:rsid w:val="00DF232B"/>
    <w:pPr>
      <w:tabs>
        <w:tab w:val="right" w:pos="4176"/>
      </w:tabs>
      <w:ind w:left="568" w:hanging="284"/>
    </w:pPr>
    <w:rPr>
      <w:rFonts w:ascii="Garamond" w:hAnsi="Garamond"/>
    </w:rPr>
  </w:style>
  <w:style w:type="paragraph" w:customStyle="1" w:styleId="Byline">
    <w:name w:val="Byline"/>
    <w:rsid w:val="00DF23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32B"/>
    <w:pPr>
      <w:tabs>
        <w:tab w:val="clear" w:pos="3600"/>
        <w:tab w:val="clear" w:pos="3958"/>
      </w:tabs>
      <w:jc w:val="right"/>
    </w:pPr>
  </w:style>
  <w:style w:type="character" w:styleId="Emphasis">
    <w:name w:val="Emphasis"/>
    <w:basedOn w:val="DefaultParagraphFont"/>
    <w:qFormat/>
    <w:rsid w:val="00DF232B"/>
    <w:rPr>
      <w:i/>
    </w:rPr>
  </w:style>
  <w:style w:type="paragraph" w:styleId="Caption">
    <w:name w:val="caption"/>
    <w:basedOn w:val="BodyText"/>
    <w:next w:val="Normal"/>
    <w:qFormat/>
    <w:rsid w:val="00DF232B"/>
    <w:pPr>
      <w:framePr w:w="2268" w:hSpace="181" w:vSpace="181" w:wrap="around" w:vAnchor="text" w:hAnchor="page" w:x="1135" w:y="285" w:anchorLock="1"/>
    </w:pPr>
    <w:rPr>
      <w:i/>
    </w:rPr>
  </w:style>
  <w:style w:type="paragraph" w:customStyle="1" w:styleId="MiniTOCTitle">
    <w:name w:val="MiniTOCTitle"/>
    <w:basedOn w:val="Heading4"/>
    <w:rsid w:val="00DF232B"/>
    <w:pPr>
      <w:spacing w:before="240"/>
      <w:outlineLvl w:val="9"/>
    </w:pPr>
    <w:rPr>
      <w:noProof/>
      <w:sz w:val="24"/>
    </w:rPr>
  </w:style>
  <w:style w:type="paragraph" w:customStyle="1" w:styleId="MiniTOCItem">
    <w:name w:val="MiniTOCItem"/>
    <w:basedOn w:val="ListBullet"/>
    <w:rsid w:val="00DF232B"/>
    <w:pPr>
      <w:numPr>
        <w:numId w:val="0"/>
      </w:numPr>
      <w:tabs>
        <w:tab w:val="right" w:leader="dot" w:pos="6521"/>
      </w:tabs>
      <w:spacing w:before="0" w:after="0"/>
    </w:pPr>
  </w:style>
  <w:style w:type="paragraph" w:customStyle="1" w:styleId="TOFTitle">
    <w:name w:val="TOFTitle"/>
    <w:basedOn w:val="TOCTitle"/>
    <w:rsid w:val="00DF232B"/>
  </w:style>
  <w:style w:type="paragraph" w:styleId="TableofFigures">
    <w:name w:val="table of figures"/>
    <w:basedOn w:val="Normal"/>
    <w:next w:val="Normal"/>
    <w:semiHidden/>
    <w:rsid w:val="00DF232B"/>
    <w:pPr>
      <w:tabs>
        <w:tab w:val="right" w:leader="dot" w:pos="9072"/>
      </w:tabs>
      <w:ind w:left="970" w:hanging="403"/>
    </w:pPr>
    <w:rPr>
      <w:rFonts w:ascii="Times New Roman" w:hAnsi="Times New Roman"/>
      <w:b/>
    </w:rPr>
  </w:style>
  <w:style w:type="paragraph" w:styleId="ListNumber">
    <w:name w:val="List Number"/>
    <w:basedOn w:val="List"/>
    <w:rsid w:val="00DF232B"/>
    <w:pPr>
      <w:numPr>
        <w:numId w:val="15"/>
      </w:numPr>
      <w:tabs>
        <w:tab w:val="clear" w:pos="340"/>
      </w:tabs>
    </w:pPr>
  </w:style>
  <w:style w:type="character" w:customStyle="1" w:styleId="WingdingSymbols">
    <w:name w:val="Wingding Symbols"/>
    <w:rsid w:val="00DF232B"/>
    <w:rPr>
      <w:rFonts w:ascii="Wingdings" w:hAnsi="Wingdings"/>
    </w:rPr>
  </w:style>
  <w:style w:type="paragraph" w:customStyle="1" w:styleId="TableHeading">
    <w:name w:val="Table Heading"/>
    <w:basedOn w:val="HeadingBase"/>
    <w:rsid w:val="00DF232B"/>
    <w:pPr>
      <w:keepLines/>
      <w:pBdr>
        <w:bottom w:val="single" w:sz="6" w:space="1" w:color="918585"/>
      </w:pBdr>
      <w:spacing w:before="240"/>
    </w:pPr>
  </w:style>
  <w:style w:type="character" w:customStyle="1" w:styleId="HotSpot">
    <w:name w:val="HotSpot"/>
    <w:rsid w:val="00DF232B"/>
    <w:rPr>
      <w:color w:val="0033CC"/>
      <w:u w:val="none"/>
    </w:rPr>
  </w:style>
  <w:style w:type="paragraph" w:customStyle="1" w:styleId="BodyTextRight">
    <w:name w:val="Body Text Right"/>
    <w:basedOn w:val="BodyText"/>
    <w:rsid w:val="00DF232B"/>
    <w:pPr>
      <w:spacing w:before="0" w:after="0"/>
      <w:jc w:val="right"/>
    </w:pPr>
  </w:style>
  <w:style w:type="paragraph" w:styleId="Index3">
    <w:name w:val="index 3"/>
    <w:basedOn w:val="ListNumber2"/>
    <w:next w:val="Normal"/>
    <w:semiHidden/>
    <w:rsid w:val="00DF232B"/>
    <w:pPr>
      <w:numPr>
        <w:numId w:val="0"/>
      </w:numPr>
      <w:tabs>
        <w:tab w:val="right" w:leader="dot" w:pos="4176"/>
      </w:tabs>
    </w:pPr>
  </w:style>
  <w:style w:type="paragraph" w:styleId="ListNumber2">
    <w:name w:val="List Number 2"/>
    <w:basedOn w:val="List2"/>
    <w:rsid w:val="00DF232B"/>
    <w:pPr>
      <w:numPr>
        <w:numId w:val="10"/>
      </w:numPr>
      <w:tabs>
        <w:tab w:val="clear" w:pos="1060"/>
      </w:tabs>
    </w:pPr>
  </w:style>
  <w:style w:type="paragraph" w:customStyle="1" w:styleId="MarginNote">
    <w:name w:val="Margin Note"/>
    <w:basedOn w:val="BodyText"/>
    <w:rsid w:val="00DF23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3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3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32B"/>
    <w:rPr>
      <w:sz w:val="32"/>
    </w:rPr>
  </w:style>
  <w:style w:type="paragraph" w:customStyle="1" w:styleId="HeadingProcedure">
    <w:name w:val="Heading Procedure"/>
    <w:basedOn w:val="HeadingBase"/>
    <w:next w:val="Normal"/>
    <w:rsid w:val="00DF232B"/>
    <w:pPr>
      <w:tabs>
        <w:tab w:val="left" w:pos="0"/>
      </w:tabs>
      <w:spacing w:before="120" w:after="60"/>
    </w:pPr>
    <w:rPr>
      <w:i/>
      <w:color w:val="918585"/>
      <w:sz w:val="22"/>
    </w:rPr>
  </w:style>
  <w:style w:type="paragraph" w:customStyle="1" w:styleId="TableBodyText">
    <w:name w:val="Table Body Text"/>
    <w:basedOn w:val="BodyText"/>
    <w:rsid w:val="00DF232B"/>
    <w:pPr>
      <w:spacing w:before="60" w:after="60"/>
    </w:pPr>
  </w:style>
  <w:style w:type="paragraph" w:styleId="ListContinue">
    <w:name w:val="List Continue"/>
    <w:basedOn w:val="List"/>
    <w:rsid w:val="00DF232B"/>
    <w:pPr>
      <w:ind w:firstLine="0"/>
    </w:pPr>
  </w:style>
  <w:style w:type="paragraph" w:customStyle="1" w:styleId="ListNote">
    <w:name w:val="List Note"/>
    <w:basedOn w:val="List"/>
    <w:rsid w:val="00DF232B"/>
    <w:pPr>
      <w:pBdr>
        <w:top w:val="single" w:sz="6" w:space="2" w:color="918585"/>
        <w:bottom w:val="single" w:sz="6" w:space="2" w:color="918585"/>
      </w:pBdr>
      <w:tabs>
        <w:tab w:val="left" w:pos="1021"/>
      </w:tabs>
      <w:ind w:firstLine="0"/>
    </w:pPr>
  </w:style>
  <w:style w:type="paragraph" w:customStyle="1" w:styleId="Warning">
    <w:name w:val="Warning"/>
    <w:basedOn w:val="BodyText"/>
    <w:rsid w:val="00DF232B"/>
    <w:pPr>
      <w:shd w:val="clear" w:color="auto" w:fill="D9D9D9"/>
      <w:tabs>
        <w:tab w:val="left" w:pos="992"/>
      </w:tabs>
      <w:ind w:left="119" w:right="119"/>
    </w:pPr>
    <w:rPr>
      <w:sz w:val="20"/>
    </w:rPr>
  </w:style>
  <w:style w:type="paragraph" w:customStyle="1" w:styleId="MarginIcons">
    <w:name w:val="Margin Icons"/>
    <w:basedOn w:val="BodyText"/>
    <w:rsid w:val="00DF23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32B"/>
    <w:rPr>
      <w:rFonts w:ascii="Courier New" w:hAnsi="Courier New"/>
    </w:rPr>
  </w:style>
  <w:style w:type="paragraph" w:customStyle="1" w:styleId="NoteBullet">
    <w:name w:val="Note Bullet"/>
    <w:basedOn w:val="Note"/>
    <w:rsid w:val="00DF232B"/>
    <w:pPr>
      <w:tabs>
        <w:tab w:val="clear" w:pos="680"/>
      </w:tabs>
      <w:spacing w:before="60" w:after="60"/>
    </w:pPr>
  </w:style>
  <w:style w:type="paragraph" w:customStyle="1" w:styleId="SubHeading2">
    <w:name w:val="SubHeading2"/>
    <w:basedOn w:val="HeadingBase"/>
    <w:rsid w:val="00DF232B"/>
    <w:pPr>
      <w:spacing w:before="240" w:after="60"/>
    </w:pPr>
    <w:rPr>
      <w:sz w:val="20"/>
    </w:rPr>
  </w:style>
  <w:style w:type="paragraph" w:customStyle="1" w:styleId="SubHeading1">
    <w:name w:val="SubHeading1"/>
    <w:basedOn w:val="HeadingBase"/>
    <w:rsid w:val="00DF232B"/>
    <w:pPr>
      <w:spacing w:before="240" w:after="60"/>
    </w:pPr>
    <w:rPr>
      <w:color w:val="918585"/>
      <w:sz w:val="22"/>
    </w:rPr>
  </w:style>
  <w:style w:type="paragraph" w:customStyle="1" w:styleId="SideHeading">
    <w:name w:val="Side Heading"/>
    <w:basedOn w:val="HeadingBase"/>
    <w:rsid w:val="00DF23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32B"/>
    <w:pPr>
      <w:tabs>
        <w:tab w:val="num" w:pos="360"/>
      </w:tabs>
    </w:pPr>
  </w:style>
  <w:style w:type="paragraph" w:styleId="PlainText">
    <w:name w:val="Plain Text"/>
    <w:basedOn w:val="Normal"/>
    <w:link w:val="PlainTextChar"/>
    <w:rsid w:val="00DF232B"/>
    <w:rPr>
      <w:sz w:val="20"/>
    </w:rPr>
  </w:style>
  <w:style w:type="character" w:customStyle="1" w:styleId="PlainTextChar">
    <w:name w:val="Plain Text Char"/>
    <w:basedOn w:val="DefaultParagraphFont"/>
    <w:link w:val="PlainText"/>
    <w:rsid w:val="00DF232B"/>
    <w:rPr>
      <w:rFonts w:ascii="Courier New" w:eastAsia="Times New Roman" w:hAnsi="Courier New" w:cs="Times New Roman"/>
      <w:sz w:val="20"/>
      <w:szCs w:val="20"/>
      <w:lang w:eastAsia="en-US"/>
    </w:rPr>
  </w:style>
  <w:style w:type="character" w:customStyle="1" w:styleId="MenuOption">
    <w:name w:val="Menu Option"/>
    <w:basedOn w:val="DefaultParagraphFont"/>
    <w:rsid w:val="00DF232B"/>
    <w:rPr>
      <w:b/>
      <w:smallCaps/>
    </w:rPr>
  </w:style>
  <w:style w:type="paragraph" w:customStyle="1" w:styleId="TableListNumber">
    <w:name w:val="Table List Number"/>
    <w:basedOn w:val="ListNumber"/>
    <w:rsid w:val="00DF232B"/>
    <w:pPr>
      <w:numPr>
        <w:numId w:val="0"/>
      </w:numPr>
    </w:pPr>
  </w:style>
  <w:style w:type="paragraph" w:styleId="TOC4">
    <w:name w:val="toc 4"/>
    <w:basedOn w:val="TOCBase"/>
    <w:next w:val="Normal"/>
    <w:semiHidden/>
    <w:rsid w:val="00DF232B"/>
    <w:pPr>
      <w:tabs>
        <w:tab w:val="right" w:leader="dot" w:pos="9071"/>
      </w:tabs>
      <w:ind w:left="1701"/>
    </w:pPr>
  </w:style>
  <w:style w:type="paragraph" w:customStyle="1" w:styleId="ListAlpha">
    <w:name w:val="List Alpha"/>
    <w:basedOn w:val="List"/>
    <w:rsid w:val="00DF232B"/>
    <w:pPr>
      <w:numPr>
        <w:numId w:val="9"/>
      </w:numPr>
    </w:pPr>
  </w:style>
  <w:style w:type="paragraph" w:customStyle="1" w:styleId="ListAlpha2">
    <w:name w:val="List Alpha 2"/>
    <w:basedOn w:val="List2"/>
    <w:rsid w:val="00DF232B"/>
    <w:pPr>
      <w:numPr>
        <w:numId w:val="8"/>
      </w:numPr>
    </w:pPr>
  </w:style>
  <w:style w:type="paragraph" w:styleId="List2">
    <w:name w:val="List 2"/>
    <w:basedOn w:val="BodyText"/>
    <w:rsid w:val="00DF232B"/>
    <w:pPr>
      <w:tabs>
        <w:tab w:val="left" w:pos="680"/>
      </w:tabs>
      <w:spacing w:before="60" w:after="60"/>
      <w:ind w:left="680" w:hanging="340"/>
    </w:pPr>
  </w:style>
  <w:style w:type="paragraph" w:styleId="List3">
    <w:name w:val="List 3"/>
    <w:basedOn w:val="BodyText"/>
    <w:rsid w:val="00DF232B"/>
    <w:pPr>
      <w:tabs>
        <w:tab w:val="left" w:pos="1021"/>
      </w:tabs>
      <w:spacing w:before="60" w:after="60"/>
      <w:ind w:left="1020" w:hanging="340"/>
    </w:pPr>
  </w:style>
  <w:style w:type="paragraph" w:styleId="List4">
    <w:name w:val="List 4"/>
    <w:basedOn w:val="BodyText"/>
    <w:rsid w:val="00DF232B"/>
    <w:pPr>
      <w:tabs>
        <w:tab w:val="left" w:pos="1361"/>
      </w:tabs>
      <w:spacing w:before="60" w:after="60"/>
      <w:ind w:left="1361" w:hanging="340"/>
    </w:pPr>
  </w:style>
  <w:style w:type="paragraph" w:styleId="List5">
    <w:name w:val="List 5"/>
    <w:basedOn w:val="BodyText"/>
    <w:rsid w:val="00DF232B"/>
    <w:pPr>
      <w:tabs>
        <w:tab w:val="left" w:pos="1701"/>
      </w:tabs>
      <w:spacing w:before="60" w:after="60"/>
      <w:ind w:left="1701" w:hanging="340"/>
    </w:pPr>
  </w:style>
  <w:style w:type="paragraph" w:styleId="ListBullet3">
    <w:name w:val="List Bullet 3"/>
    <w:basedOn w:val="List3"/>
    <w:rsid w:val="00DF232B"/>
    <w:pPr>
      <w:numPr>
        <w:numId w:val="14"/>
      </w:numPr>
      <w:tabs>
        <w:tab w:val="clear" w:pos="1021"/>
      </w:tabs>
      <w:ind w:left="1037" w:hanging="357"/>
    </w:pPr>
  </w:style>
  <w:style w:type="paragraph" w:styleId="ListBullet4">
    <w:name w:val="List Bullet 4"/>
    <w:basedOn w:val="List4"/>
    <w:rsid w:val="00DF232B"/>
    <w:pPr>
      <w:numPr>
        <w:numId w:val="3"/>
      </w:numPr>
      <w:tabs>
        <w:tab w:val="clear" w:pos="1361"/>
      </w:tabs>
    </w:pPr>
  </w:style>
  <w:style w:type="paragraph" w:styleId="ListBullet5">
    <w:name w:val="List Bullet 5"/>
    <w:basedOn w:val="List5"/>
    <w:rsid w:val="00DF232B"/>
    <w:pPr>
      <w:numPr>
        <w:numId w:val="4"/>
      </w:numPr>
    </w:pPr>
  </w:style>
  <w:style w:type="paragraph" w:styleId="ListContinue2">
    <w:name w:val="List Continue 2"/>
    <w:basedOn w:val="List2"/>
    <w:rsid w:val="00DF232B"/>
    <w:pPr>
      <w:ind w:firstLine="0"/>
    </w:pPr>
  </w:style>
  <w:style w:type="paragraph" w:styleId="ListContinue3">
    <w:name w:val="List Continue 3"/>
    <w:basedOn w:val="List3"/>
    <w:rsid w:val="00DF232B"/>
    <w:pPr>
      <w:ind w:left="1021" w:firstLine="0"/>
    </w:pPr>
  </w:style>
  <w:style w:type="paragraph" w:styleId="ListContinue4">
    <w:name w:val="List Continue 4"/>
    <w:basedOn w:val="List4"/>
    <w:rsid w:val="00DF232B"/>
    <w:pPr>
      <w:ind w:firstLine="0"/>
    </w:pPr>
  </w:style>
  <w:style w:type="paragraph" w:styleId="ListContinue5">
    <w:name w:val="List Continue 5"/>
    <w:basedOn w:val="List5"/>
    <w:rsid w:val="00DF232B"/>
    <w:pPr>
      <w:ind w:firstLine="0"/>
    </w:pPr>
  </w:style>
  <w:style w:type="paragraph" w:styleId="ListNumber3">
    <w:name w:val="List Number 3"/>
    <w:basedOn w:val="List3"/>
    <w:rsid w:val="00DF232B"/>
    <w:pPr>
      <w:numPr>
        <w:numId w:val="5"/>
      </w:numPr>
    </w:pPr>
  </w:style>
  <w:style w:type="paragraph" w:styleId="ListNumber4">
    <w:name w:val="List Number 4"/>
    <w:basedOn w:val="List4"/>
    <w:rsid w:val="00DF232B"/>
    <w:pPr>
      <w:numPr>
        <w:numId w:val="6"/>
      </w:numPr>
    </w:pPr>
  </w:style>
  <w:style w:type="paragraph" w:styleId="ListNumber5">
    <w:name w:val="List Number 5"/>
    <w:basedOn w:val="List5"/>
    <w:rsid w:val="00DF232B"/>
    <w:pPr>
      <w:numPr>
        <w:numId w:val="7"/>
      </w:numPr>
    </w:pPr>
  </w:style>
  <w:style w:type="paragraph" w:styleId="BlockText">
    <w:name w:val="Block Text"/>
    <w:basedOn w:val="Normal"/>
    <w:rsid w:val="00DF232B"/>
    <w:pPr>
      <w:spacing w:after="120"/>
      <w:ind w:left="1440" w:right="1440"/>
    </w:pPr>
  </w:style>
  <w:style w:type="character" w:customStyle="1" w:styleId="Subscript">
    <w:name w:val="Subscript"/>
    <w:basedOn w:val="DefaultParagraphFont"/>
    <w:rsid w:val="00DF232B"/>
    <w:rPr>
      <w:sz w:val="16"/>
      <w:vertAlign w:val="subscript"/>
    </w:rPr>
  </w:style>
  <w:style w:type="character" w:customStyle="1" w:styleId="Superscript">
    <w:name w:val="Superscript"/>
    <w:basedOn w:val="DefaultParagraphFont"/>
    <w:rsid w:val="00DF232B"/>
    <w:rPr>
      <w:sz w:val="16"/>
      <w:vertAlign w:val="superscript"/>
    </w:rPr>
  </w:style>
  <w:style w:type="character" w:customStyle="1" w:styleId="Symbols">
    <w:name w:val="Symbols"/>
    <w:basedOn w:val="DefaultParagraphFont"/>
    <w:rsid w:val="00DF232B"/>
    <w:rPr>
      <w:rFonts w:ascii="Symbol" w:hAnsi="Symbol"/>
    </w:rPr>
  </w:style>
  <w:style w:type="character" w:customStyle="1" w:styleId="MenuOptions">
    <w:name w:val="Menu Options"/>
    <w:basedOn w:val="DefaultParagraphFont"/>
    <w:rsid w:val="00DF232B"/>
    <w:rPr>
      <w:rFonts w:ascii="Arial Narrow" w:hAnsi="Arial Narrow"/>
      <w:smallCaps/>
    </w:rPr>
  </w:style>
  <w:style w:type="character" w:customStyle="1" w:styleId="Buttons">
    <w:name w:val="Buttons"/>
    <w:basedOn w:val="DefaultParagraphFont"/>
    <w:rsid w:val="00DF232B"/>
    <w:rPr>
      <w:b/>
    </w:rPr>
  </w:style>
  <w:style w:type="character" w:customStyle="1" w:styleId="Underlined">
    <w:name w:val="Underlined"/>
    <w:basedOn w:val="DefaultParagraphFont"/>
    <w:rsid w:val="00DF232B"/>
    <w:rPr>
      <w:u w:val="single"/>
    </w:rPr>
  </w:style>
  <w:style w:type="paragraph" w:customStyle="1" w:styleId="TableBodyTextRight">
    <w:name w:val="Table Body Text Right"/>
    <w:basedOn w:val="TableBodyText"/>
    <w:rsid w:val="00DF232B"/>
    <w:pPr>
      <w:widowControl w:val="0"/>
      <w:autoSpaceDE w:val="0"/>
      <w:autoSpaceDN w:val="0"/>
      <w:adjustRightInd w:val="0"/>
      <w:jc w:val="right"/>
    </w:pPr>
    <w:rPr>
      <w:rFonts w:cs="Arial"/>
      <w:szCs w:val="18"/>
    </w:rPr>
  </w:style>
  <w:style w:type="paragraph" w:customStyle="1" w:styleId="CopyrightText">
    <w:name w:val="Copyright Text"/>
    <w:basedOn w:val="BodyText"/>
    <w:rsid w:val="00DF232B"/>
    <w:rPr>
      <w:sz w:val="18"/>
    </w:rPr>
  </w:style>
  <w:style w:type="paragraph" w:customStyle="1" w:styleId="BodySmallRight">
    <w:name w:val="Body Small Right"/>
    <w:basedOn w:val="BodyTextRight"/>
    <w:rsid w:val="00DF232B"/>
    <w:rPr>
      <w:sz w:val="18"/>
      <w:szCs w:val="18"/>
    </w:rPr>
  </w:style>
  <w:style w:type="paragraph" w:customStyle="1" w:styleId="MarginEdition">
    <w:name w:val="Margin Edition"/>
    <w:basedOn w:val="MarginNote"/>
    <w:rsid w:val="00DF232B"/>
    <w:pPr>
      <w:spacing w:before="0" w:after="0"/>
    </w:pPr>
    <w:rPr>
      <w:rFonts w:ascii="Times New Roman" w:hAnsi="Times New Roman"/>
      <w:color w:val="999999"/>
    </w:rPr>
  </w:style>
  <w:style w:type="paragraph" w:customStyle="1" w:styleId="Spacer">
    <w:name w:val="Spacer"/>
    <w:basedOn w:val="Normal"/>
    <w:rsid w:val="00DF232B"/>
    <w:rPr>
      <w:sz w:val="2"/>
      <w:szCs w:val="2"/>
    </w:rPr>
  </w:style>
  <w:style w:type="character" w:customStyle="1" w:styleId="Small">
    <w:name w:val="Small"/>
    <w:basedOn w:val="DefaultParagraphFont"/>
    <w:rsid w:val="00DF232B"/>
    <w:rPr>
      <w:sz w:val="16"/>
    </w:rPr>
  </w:style>
  <w:style w:type="paragraph" w:customStyle="1" w:styleId="WideTable">
    <w:name w:val="Wide Table"/>
    <w:basedOn w:val="Normal"/>
    <w:rsid w:val="00DF232B"/>
    <w:pPr>
      <w:ind w:left="-1418"/>
    </w:pPr>
    <w:rPr>
      <w:sz w:val="2"/>
      <w:szCs w:val="2"/>
    </w:rPr>
  </w:style>
  <w:style w:type="character" w:styleId="PageNumber">
    <w:name w:val="page number"/>
    <w:basedOn w:val="DefaultParagraphFont"/>
    <w:rsid w:val="00DF232B"/>
  </w:style>
  <w:style w:type="paragraph" w:styleId="Quote">
    <w:name w:val="Quote"/>
    <w:basedOn w:val="Heading1"/>
    <w:link w:val="QuoteChar"/>
    <w:qFormat/>
    <w:rsid w:val="00DF232B"/>
    <w:rPr>
      <w:b w:val="0"/>
      <w:sz w:val="72"/>
      <w:szCs w:val="72"/>
      <w:lang w:val="en-NZ"/>
    </w:rPr>
  </w:style>
  <w:style w:type="character" w:customStyle="1" w:styleId="QuoteChar">
    <w:name w:val="Quote Char"/>
    <w:basedOn w:val="DefaultParagraphFont"/>
    <w:link w:val="Quote"/>
    <w:rsid w:val="00DF23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32B"/>
    <w:pPr>
      <w:pageBreakBefore/>
    </w:pPr>
  </w:style>
  <w:style w:type="paragraph" w:customStyle="1" w:styleId="Border">
    <w:name w:val="Border"/>
    <w:basedOn w:val="Normal"/>
    <w:qFormat/>
    <w:rsid w:val="00DF23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32B"/>
    <w:rPr>
      <w:b/>
      <w:bCs/>
      <w:i/>
      <w:iCs/>
      <w:color w:val="auto"/>
    </w:rPr>
  </w:style>
  <w:style w:type="paragraph" w:styleId="IntenseQuote">
    <w:name w:val="Intense Quote"/>
    <w:basedOn w:val="Normal"/>
    <w:next w:val="Normal"/>
    <w:link w:val="IntenseQuoteChar"/>
    <w:uiPriority w:val="30"/>
    <w:qFormat/>
    <w:rsid w:val="00DF23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3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32B"/>
    <w:rPr>
      <w:smallCaps/>
      <w:color w:val="auto"/>
      <w:u w:val="single"/>
    </w:rPr>
  </w:style>
  <w:style w:type="character" w:styleId="IntenseReference">
    <w:name w:val="Intense Reference"/>
    <w:basedOn w:val="DefaultParagraphFont"/>
    <w:uiPriority w:val="32"/>
    <w:qFormat/>
    <w:rsid w:val="00DF232B"/>
    <w:rPr>
      <w:b/>
      <w:bCs/>
      <w:smallCaps/>
      <w:color w:val="auto"/>
      <w:spacing w:val="5"/>
      <w:u w:val="single"/>
    </w:rPr>
  </w:style>
  <w:style w:type="paragraph" w:customStyle="1" w:styleId="2ColumnHeading">
    <w:name w:val="2Column Heading"/>
    <w:basedOn w:val="BodyText"/>
    <w:qFormat/>
    <w:rsid w:val="00DF232B"/>
    <w:pPr>
      <w:spacing w:after="60"/>
      <w:ind w:left="-2268"/>
    </w:pPr>
    <w:rPr>
      <w:b/>
    </w:rPr>
  </w:style>
  <w:style w:type="paragraph" w:customStyle="1" w:styleId="Heading1TOC">
    <w:name w:val="Heading1 TOC"/>
    <w:basedOn w:val="Normal"/>
    <w:qFormat/>
    <w:rsid w:val="00DF232B"/>
    <w:pPr>
      <w:spacing w:before="240" w:after="120"/>
    </w:pPr>
    <w:rPr>
      <w:rFonts w:ascii="Times New Roman" w:hAnsi="Times New Roman"/>
      <w:b/>
      <w:sz w:val="32"/>
    </w:rPr>
  </w:style>
  <w:style w:type="paragraph" w:customStyle="1" w:styleId="Heading2TOC">
    <w:name w:val="Heading2 TOC"/>
    <w:basedOn w:val="Normal"/>
    <w:qFormat/>
    <w:rsid w:val="00DF232B"/>
    <w:pPr>
      <w:spacing w:before="240" w:after="60"/>
    </w:pPr>
    <w:rPr>
      <w:rFonts w:ascii="Times New Roman" w:hAnsi="Times New Roman"/>
      <w:b/>
      <w:sz w:val="28"/>
    </w:rPr>
  </w:style>
  <w:style w:type="character" w:customStyle="1" w:styleId="Underline">
    <w:name w:val="Underline"/>
    <w:basedOn w:val="DefaultParagraphFont"/>
    <w:qFormat/>
    <w:rsid w:val="00DF232B"/>
    <w:rPr>
      <w:u w:val="single"/>
    </w:rPr>
  </w:style>
  <w:style w:type="character" w:customStyle="1" w:styleId="BoldandItalics">
    <w:name w:val="Bold and Italics"/>
    <w:qFormat/>
    <w:rsid w:val="00DF232B"/>
    <w:rPr>
      <w:b/>
      <w:i/>
      <w:u w:val="none"/>
    </w:rPr>
  </w:style>
  <w:style w:type="paragraph" w:styleId="BalloonText">
    <w:name w:val="Balloon Text"/>
    <w:basedOn w:val="Normal"/>
    <w:link w:val="BalloonTextChar"/>
    <w:rsid w:val="00DF232B"/>
    <w:rPr>
      <w:rFonts w:ascii="Tahoma" w:hAnsi="Tahoma" w:cs="Tahoma"/>
      <w:sz w:val="16"/>
      <w:szCs w:val="16"/>
    </w:rPr>
  </w:style>
  <w:style w:type="character" w:customStyle="1" w:styleId="BalloonTextChar">
    <w:name w:val="Balloon Text Char"/>
    <w:basedOn w:val="DefaultParagraphFont"/>
    <w:link w:val="BalloonText"/>
    <w:rsid w:val="00DF23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3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3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32B"/>
    <w:rPr>
      <w:b/>
      <w:color w:val="660033"/>
      <w:spacing w:val="0"/>
    </w:rPr>
  </w:style>
  <w:style w:type="paragraph" w:customStyle="1" w:styleId="Nameditemlist">
    <w:name w:val="Named item list"/>
    <w:basedOn w:val="BodyText"/>
    <w:qFormat/>
    <w:rsid w:val="00DF232B"/>
    <w:pPr>
      <w:tabs>
        <w:tab w:val="left" w:pos="2835"/>
      </w:tabs>
      <w:ind w:left="2835" w:hanging="2835"/>
    </w:pPr>
  </w:style>
  <w:style w:type="paragraph" w:customStyle="1" w:styleId="BodyTextnopadding">
    <w:name w:val="Body Text no padding"/>
    <w:basedOn w:val="BodyText"/>
    <w:qFormat/>
    <w:rsid w:val="00DF232B"/>
    <w:pPr>
      <w:spacing w:before="0" w:after="0"/>
    </w:pPr>
  </w:style>
  <w:style w:type="paragraph" w:customStyle="1" w:styleId="BodyTextBold">
    <w:name w:val="Body Text Bold"/>
    <w:basedOn w:val="BodyText"/>
    <w:qFormat/>
    <w:rsid w:val="00DF232B"/>
    <w:rPr>
      <w:b/>
    </w:rPr>
  </w:style>
  <w:style w:type="character" w:styleId="Hyperlink">
    <w:name w:val="Hyperlink"/>
    <w:basedOn w:val="DefaultParagraphFont"/>
    <w:uiPriority w:val="99"/>
    <w:unhideWhenUsed/>
    <w:rsid w:val="00054F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1451</Words>
  <Characters>9317</Characters>
  <Application>Microsoft Office Word</Application>
  <DocSecurity>0</DocSecurity>
  <Lines>345</Lines>
  <Paragraphs>185</Paragraphs>
  <ScaleCrop>false</ScaleCrop>
  <Company>Author-it Software Corporation Ltd.</Company>
  <LinksUpToDate>false</LinksUpToDate>
  <CharactersWithSpaces>10583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MSS017001 Analyse and determine organisational risk areas in sustainability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2025-03-01T21:04:00Z</dcterms:created>
  <dcterms:modified xsi:type="dcterms:W3CDTF">2025-03-01T21:04:00Z</dcterms:modified>
</cp:coreProperties>
</file>