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437" w:rsidP="00772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MSS017001 Analyse and determine organisational risk areas in sustainability</w:t>
      </w:r>
      <w:r>
        <w:fldChar w:fldCharType="end"/>
      </w:r>
    </w:p>
    <w:p w:rsidR="00772437" w:rsidP="00772437">
      <w:pPr>
        <w:pStyle w:val="Version"/>
        <w:sectPr w:rsidSect="008C7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100" w:rsidP="008C7100">
      <w:pPr>
        <w:pStyle w:val="SuperHeading"/>
      </w:pPr>
      <w:r w:rsidRPr="008C7100">
        <w:t>Assessment Requirements for MSS017001 Analyse and determine organisational risk areas in sustainability</w:t>
      </w:r>
    </w:p>
    <w:p w:rsidR="00000000" w:rsidRPr="008C7100" w:rsidP="008C7100">
      <w:pPr>
        <w:pStyle w:val="Heading1"/>
      </w:pPr>
      <w:bookmarkStart w:id="1" w:name="O_923282"/>
      <w:bookmarkEnd w:id="1"/>
      <w:r w:rsidRPr="008C7100">
        <w:t>Modification History</w:t>
      </w:r>
    </w:p>
    <w:p w:rsidR="00000000" w:rsidRPr="008C7100" w:rsidP="008C7100">
      <w:pPr>
        <w:pStyle w:val="BodyText"/>
      </w:pPr>
      <w:r w:rsidRPr="008C7100">
        <w:t xml:space="preserve">Release 1. Supersedes and is equivalent to MSS017001A Analyse and determine organisational risk areas in sustainability. </w:t>
      </w:r>
    </w:p>
    <w:p w:rsidR="00000000" w:rsidRPr="008C7100" w:rsidP="008C7100">
      <w:pPr>
        <w:pStyle w:val="AllowPageBreak"/>
      </w:pPr>
    </w:p>
    <w:p w:rsidR="00000000" w:rsidRPr="008C7100" w:rsidP="008C7100">
      <w:pPr>
        <w:pStyle w:val="Heading1"/>
      </w:pPr>
      <w:bookmarkStart w:id="2" w:name="O_923285"/>
      <w:bookmarkEnd w:id="2"/>
      <w:r w:rsidRPr="008C7100">
        <w:t>Performance Evidence</w:t>
      </w:r>
    </w:p>
    <w:p w:rsidR="00000000" w:rsidRPr="008C7100" w:rsidP="008C7100">
      <w:pPr>
        <w:pStyle w:val="BodyText"/>
      </w:pPr>
      <w:r w:rsidRPr="008C7100">
        <w:t>Evidence required to demonstrate competence in this unit must be relevant to and satisfy the req</w:t>
      </w:r>
      <w:r w:rsidRPr="008C7100">
        <w:t>uirements of the elements and performance criteria and include the ability, for one or more organisations/sections/departments or value chains, to:</w:t>
      </w:r>
    </w:p>
    <w:p w:rsidR="00000000" w:rsidRPr="008C7100" w:rsidP="008C7100">
      <w:pPr>
        <w:pStyle w:val="ListBullet"/>
      </w:pPr>
      <w:r w:rsidRPr="008C7100">
        <w:t>analyse sustainability susceptibilities for a chosen portion of a value chain</w:t>
      </w:r>
    </w:p>
    <w:p w:rsidR="00000000" w:rsidRPr="008C7100" w:rsidP="008C7100">
      <w:pPr>
        <w:pStyle w:val="ListBullet"/>
      </w:pPr>
      <w:r w:rsidRPr="008C7100">
        <w:t>identify sustainability issue</w:t>
      </w:r>
      <w:r w:rsidRPr="008C7100">
        <w:t>s of particular relevance to the chosen portion of the value chain</w:t>
      </w:r>
    </w:p>
    <w:p w:rsidR="00000000" w:rsidRPr="008C7100" w:rsidP="008C7100">
      <w:pPr>
        <w:pStyle w:val="ListBullet"/>
      </w:pPr>
      <w:r w:rsidRPr="008C7100">
        <w:t>analyse root cause</w:t>
      </w:r>
    </w:p>
    <w:p w:rsidR="00000000" w:rsidRPr="008C7100" w:rsidP="008C7100">
      <w:pPr>
        <w:pStyle w:val="ListBullet"/>
      </w:pPr>
      <w:r w:rsidRPr="008C7100">
        <w:t xml:space="preserve">identify appropriate responses </w:t>
      </w:r>
    </w:p>
    <w:p w:rsidR="00000000" w:rsidRPr="008C7100" w:rsidP="008C7100">
      <w:pPr>
        <w:pStyle w:val="ListBullet"/>
      </w:pPr>
      <w:r w:rsidRPr="008C7100">
        <w:t>communicate the above, as appropriate.</w:t>
      </w:r>
    </w:p>
    <w:p w:rsidR="00000000" w:rsidRPr="008C7100" w:rsidP="008C7100">
      <w:pPr>
        <w:pStyle w:val="AllowPageBreak"/>
      </w:pPr>
    </w:p>
    <w:p w:rsidR="00000000" w:rsidRPr="008C7100" w:rsidP="008C7100">
      <w:pPr>
        <w:pStyle w:val="Heading1"/>
      </w:pPr>
      <w:bookmarkStart w:id="3" w:name="O_923284"/>
      <w:bookmarkEnd w:id="3"/>
      <w:r w:rsidRPr="008C7100">
        <w:t>Knowledge Evidence</w:t>
      </w:r>
    </w:p>
    <w:p w:rsidR="00000000" w:rsidRPr="008C7100" w:rsidP="008C7100">
      <w:pPr>
        <w:pStyle w:val="BodyText"/>
      </w:pPr>
      <w:r w:rsidRPr="008C7100">
        <w:t>Must provide evidence that demonstrates sufficient knowledge to</w:t>
      </w:r>
      <w:r w:rsidRPr="008C7100">
        <w:t xml:space="preserve"> interact with relevant personnel and be able to determine organisational risk areas including knowledge of:</w:t>
      </w:r>
    </w:p>
    <w:p w:rsidR="00000000" w:rsidRPr="008C7100" w:rsidP="008C7100">
      <w:pPr>
        <w:pStyle w:val="ListBullet"/>
      </w:pPr>
      <w:r w:rsidRPr="008C7100">
        <w:t>process and changes which occur at each step in selected value chain</w:t>
      </w:r>
    </w:p>
    <w:p w:rsidR="00000000" w:rsidRPr="008C7100" w:rsidP="008C7100">
      <w:pPr>
        <w:pStyle w:val="ListBullet"/>
      </w:pPr>
      <w:r w:rsidRPr="008C7100">
        <w:t>principles of sustainability</w:t>
      </w:r>
    </w:p>
    <w:p w:rsidR="00000000" w:rsidRPr="008C7100" w:rsidP="008C7100">
      <w:pPr>
        <w:pStyle w:val="ListBullet"/>
      </w:pPr>
      <w:r w:rsidRPr="008C7100">
        <w:t xml:space="preserve">causes of climate change, impacts of greenhouse </w:t>
      </w:r>
      <w:r w:rsidRPr="008C7100">
        <w:t>gases</w:t>
      </w:r>
    </w:p>
    <w:p w:rsidR="00000000" w:rsidRPr="008C7100" w:rsidP="008C7100">
      <w:pPr>
        <w:pStyle w:val="ListBullet"/>
      </w:pPr>
      <w:r w:rsidRPr="008C7100">
        <w:t>sources and impacts of pollution and other ecological degradation and methods of eliminating, controlling or reducing them</w:t>
      </w:r>
    </w:p>
    <w:p w:rsidR="00000000" w:rsidRPr="008C7100" w:rsidP="008C7100">
      <w:pPr>
        <w:pStyle w:val="ListBullet"/>
      </w:pPr>
      <w:r w:rsidRPr="008C7100">
        <w:t>causes of adverse social impacts and methods of eliminating, controlling or reducing them</w:t>
      </w:r>
    </w:p>
    <w:p w:rsidR="00000000" w:rsidRPr="008C7100" w:rsidP="008C7100">
      <w:pPr>
        <w:pStyle w:val="ListBullet"/>
      </w:pPr>
      <w:r w:rsidRPr="008C7100">
        <w:t>causes of adverse economic impacts an</w:t>
      </w:r>
      <w:r w:rsidRPr="008C7100">
        <w:t>d methods of eliminating, controlling or reducing them</w:t>
      </w:r>
    </w:p>
    <w:p w:rsidR="00000000" w:rsidRPr="008C7100" w:rsidP="008C7100">
      <w:pPr>
        <w:pStyle w:val="ListBullet"/>
      </w:pPr>
      <w:r w:rsidRPr="008C7100">
        <w:t>root cause analysis (RCA)</w:t>
      </w:r>
    </w:p>
    <w:p w:rsidR="00000000" w:rsidRPr="008C7100" w:rsidP="008C7100">
      <w:pPr>
        <w:pStyle w:val="ListBullet"/>
      </w:pPr>
      <w:r w:rsidRPr="008C7100">
        <w:t>hierarchy of hazard control and its application to sustainability hazards</w:t>
      </w:r>
    </w:p>
    <w:p w:rsidR="00000000" w:rsidRPr="008C7100" w:rsidP="008C7100">
      <w:pPr>
        <w:pStyle w:val="ListBullet"/>
      </w:pPr>
      <w:r w:rsidRPr="008C7100">
        <w:t>relevant legislation, regulation and protocols, government incentives and other initiatives</w:t>
      </w:r>
    </w:p>
    <w:p w:rsidR="00000000" w:rsidRPr="008C7100" w:rsidP="008C7100">
      <w:pPr>
        <w:pStyle w:val="ListBullet"/>
      </w:pPr>
      <w:r w:rsidRPr="008C7100">
        <w:t>risk analysis and its application to sustainability risks.</w:t>
      </w:r>
    </w:p>
    <w:p w:rsidR="00000000" w:rsidRPr="008C7100" w:rsidP="008C7100">
      <w:pPr>
        <w:pStyle w:val="AllowPageBreak"/>
      </w:pPr>
    </w:p>
    <w:p w:rsidR="00000000" w:rsidRPr="008C7100" w:rsidP="008C7100">
      <w:pPr>
        <w:pStyle w:val="Heading1"/>
      </w:pPr>
      <w:bookmarkStart w:id="4" w:name="O_923283"/>
      <w:bookmarkEnd w:id="4"/>
      <w:r w:rsidRPr="008C7100">
        <w:t>Assessment Conditions</w:t>
      </w:r>
    </w:p>
    <w:p w:rsidR="00000000" w:rsidRPr="008C7100" w:rsidP="008C7100">
      <w:pPr>
        <w:pStyle w:val="ListBullet"/>
      </w:pPr>
      <w:r w:rsidRPr="008C7100">
        <w:t xml:space="preserve">The unit should be assessed holistically and the judgement of competence shall be based on a holistic assessment of the evidence. </w:t>
      </w:r>
    </w:p>
    <w:p w:rsidR="00000000" w:rsidRPr="008C7100" w:rsidP="008C7100">
      <w:pPr>
        <w:pStyle w:val="ListBullet"/>
      </w:pPr>
      <w:r w:rsidRPr="008C7100">
        <w:t>The collection of performa</w:t>
      </w:r>
      <w:r w:rsidRPr="008C7100">
        <w:t>nce evidence is best done from a report and/or folio of evidence drawn from:</w:t>
      </w:r>
    </w:p>
    <w:p w:rsidR="00000000" w:rsidRPr="008C7100" w:rsidP="008C7100">
      <w:pPr>
        <w:pStyle w:val="ListBullet2"/>
      </w:pPr>
      <w:r w:rsidRPr="008C7100">
        <w:t>a single project which provides sufficient evidence of the requirements of all the elements and performance criteria</w:t>
      </w:r>
    </w:p>
    <w:p w:rsidR="00000000" w:rsidRPr="008C7100" w:rsidP="008C7100">
      <w:pPr>
        <w:pStyle w:val="ListBullet2"/>
      </w:pPr>
      <w:r w:rsidRPr="008C7100">
        <w:t>multiple smaller projects which together provide sufficient e</w:t>
      </w:r>
      <w:r w:rsidRPr="008C7100">
        <w:t>vidence of the requirements of all the elements and performance criteria.</w:t>
      </w:r>
    </w:p>
    <w:p w:rsidR="00000000" w:rsidRPr="008C7100" w:rsidP="008C7100">
      <w:pPr>
        <w:pStyle w:val="ListBullet"/>
      </w:pPr>
      <w:r w:rsidRPr="008C7100">
        <w:t>A third-party report, or similar, may be needed to testify to the work done by the individual, particularly when the project has been done as part of a project team.</w:t>
      </w:r>
    </w:p>
    <w:p w:rsidR="00000000" w:rsidRPr="008C7100" w:rsidP="008C7100">
      <w:pPr>
        <w:pStyle w:val="ListBullet"/>
      </w:pPr>
      <w:r w:rsidRPr="008C7100">
        <w:t>Assessment shou</w:t>
      </w:r>
      <w:r w:rsidRPr="008C7100">
        <w:t xml:space="preserve">ld use a real project where the analysis of an organisation’s interaction with its environment is carried out to determine risks and vulnerabilities for an operational workplace. </w:t>
      </w:r>
    </w:p>
    <w:p w:rsidR="00000000" w:rsidRPr="008C7100" w:rsidP="008C7100">
      <w:pPr>
        <w:pStyle w:val="ListBullet"/>
      </w:pPr>
      <w:r w:rsidRPr="008C7100">
        <w:t>Knowledge evidence may be collected concurrently with performance evidence o</w:t>
      </w:r>
      <w:r w:rsidRPr="008C7100">
        <w:t>r through an independent process such as workbooks, written assessments or interviews (provided a record is kept).</w:t>
      </w:r>
    </w:p>
    <w:p w:rsidR="00000000" w:rsidRPr="008C7100" w:rsidP="008C7100">
      <w:pPr>
        <w:pStyle w:val="ListBullet"/>
      </w:pPr>
      <w:r w:rsidRPr="008C7100">
        <w:t>Assessment processes and techniques must be appropriate to the language, literacy and numeracy requirements of the work being performed and t</w:t>
      </w:r>
      <w:r w:rsidRPr="008C7100">
        <w:t>he needs of the candidate.</w:t>
      </w:r>
    </w:p>
    <w:p w:rsidR="00000000" w:rsidRPr="008C7100" w:rsidP="008C7100">
      <w:pPr>
        <w:pStyle w:val="ListBullet"/>
      </w:pPr>
      <w:r w:rsidRPr="008C710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C7100" w:rsidP="008C7100">
      <w:pPr>
        <w:pStyle w:val="ListBullet"/>
      </w:pPr>
      <w:r w:rsidRPr="008C7100">
        <w:t>Foundation skills are integral to competent performance of the unit and should not be assessed separately.</w:t>
      </w:r>
    </w:p>
    <w:p w:rsidR="00000000" w:rsidRPr="008C7100" w:rsidP="008C7100">
      <w:pPr>
        <w:pStyle w:val="ListBullet"/>
      </w:pPr>
      <w:r w:rsidRPr="008C7100">
        <w:t xml:space="preserve">Assessors must satisfy the assessor competency requirements that are in place at the time of the assessment as set by the VET regulator.  </w:t>
      </w:r>
    </w:p>
    <w:p w:rsidR="00000000" w:rsidRPr="008C7100" w:rsidP="008C7100">
      <w:pPr>
        <w:pStyle w:val="ListBullet"/>
      </w:pPr>
      <w:r w:rsidRPr="008C7100">
        <w:t>The assess</w:t>
      </w:r>
      <w:r w:rsidRPr="008C7100">
        <w:t>or must demonstrate both technical competency and currency.</w:t>
      </w:r>
    </w:p>
    <w:p w:rsidR="00000000" w:rsidRPr="008C7100" w:rsidP="008C7100">
      <w:pPr>
        <w:pStyle w:val="ListBullet"/>
      </w:pPr>
      <w:r w:rsidRPr="008C7100">
        <w:t>Technical competence can be demonstrated through:</w:t>
      </w:r>
    </w:p>
    <w:p w:rsidR="00000000" w:rsidRPr="008C7100" w:rsidP="008C7100">
      <w:pPr>
        <w:pStyle w:val="ListBullet2"/>
      </w:pPr>
      <w:r w:rsidRPr="008C7100">
        <w:t>relevant VET or other qualification/Statement of Attainment AND/OR</w:t>
      </w:r>
    </w:p>
    <w:p w:rsidR="00000000" w:rsidRPr="008C7100" w:rsidP="008C7100">
      <w:pPr>
        <w:pStyle w:val="ListBullet2"/>
      </w:pPr>
      <w:r w:rsidRPr="008C7100">
        <w:t xml:space="preserve">relevant workplace experience </w:t>
      </w:r>
    </w:p>
    <w:p w:rsidR="00000000" w:rsidRPr="008C7100" w:rsidP="008C7100">
      <w:pPr>
        <w:pStyle w:val="ListBullet"/>
      </w:pPr>
      <w:r w:rsidRPr="008C7100">
        <w:t>Currency can be demonstrated through:</w:t>
      </w:r>
    </w:p>
    <w:p w:rsidR="00000000" w:rsidRPr="008C7100" w:rsidP="008C7100">
      <w:pPr>
        <w:pStyle w:val="ListBullet2"/>
      </w:pPr>
      <w:r w:rsidRPr="008C7100">
        <w:t>perform</w:t>
      </w:r>
      <w:r w:rsidRPr="008C7100">
        <w:t>ing the competency being assessed as part of current employment OR</w:t>
      </w:r>
    </w:p>
    <w:p w:rsidR="00000000" w:rsidRPr="008C7100" w:rsidP="008C7100">
      <w:pPr>
        <w:pStyle w:val="ListBullet2"/>
      </w:pPr>
      <w:r w:rsidRPr="008C7100">
        <w:t>having consulted with an organisation providing relevant environmental monitoring, management or technology services about performing the competency being assessed within the last twelve mo</w:t>
      </w:r>
      <w:r w:rsidRPr="008C7100">
        <w:t>nths.</w:t>
      </w:r>
    </w:p>
    <w:p w:rsidR="00000000" w:rsidRPr="008C7100" w:rsidP="008C7100">
      <w:pPr>
        <w:pStyle w:val="AllowPageBreak"/>
      </w:pPr>
    </w:p>
    <w:p w:rsidR="00000000" w:rsidRPr="008C7100" w:rsidP="008C7100">
      <w:pPr>
        <w:pStyle w:val="Heading1"/>
      </w:pPr>
      <w:bookmarkStart w:id="5" w:name="O_923281"/>
      <w:bookmarkEnd w:id="5"/>
      <w:r w:rsidRPr="008C7100">
        <w:t>Links</w:t>
      </w:r>
    </w:p>
    <w:p w:rsidR="00000000" w:rsidRPr="008C7100" w:rsidP="008C7100">
      <w:pPr>
        <w:pStyle w:val="BodyText"/>
      </w:pPr>
      <w:r w:rsidRPr="008C7100">
        <w:t>MSA Training Package Implementation Guides - http://mskills.org.au/training-packages/info/</w:t>
      </w:r>
    </w:p>
    <w:p w:rsidR="00000000" w:rsidRPr="008C7100" w:rsidP="008C7100"/>
    <w:sectPr w:rsidSect="008C71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00" w:rsidRPr="00772437" w:rsidP="00772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37" w:rsidP="008C7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437" w:rsidP="008C7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72437" w:rsidP="008C7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00" w:rsidRPr="00772437" w:rsidP="007724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37" w:rsidRPr="002D2AF8" w:rsidP="008C7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MSS017001 Analyse and determine organisational risk areas in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72437" w:rsidP="008C7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E6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368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27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100"/>
  </w:style>
  <w:style w:type="character" w:customStyle="1" w:styleId="Heading1Char">
    <w:name w:val="Heading 1 Char"/>
    <w:basedOn w:val="DefaultParagraphFont"/>
    <w:link w:val="Heading1"/>
    <w:rsid w:val="008C7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1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1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1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100"/>
    <w:rPr>
      <w:b/>
      <w:spacing w:val="0"/>
    </w:rPr>
  </w:style>
  <w:style w:type="paragraph" w:customStyle="1" w:styleId="SuperTitle">
    <w:name w:val="SuperTitle"/>
    <w:basedOn w:val="Title"/>
    <w:rsid w:val="008C7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100"/>
    <w:rPr>
      <w:i/>
    </w:rPr>
  </w:style>
  <w:style w:type="paragraph" w:styleId="Caption">
    <w:name w:val="caption"/>
    <w:basedOn w:val="BodyText"/>
    <w:next w:val="Normal"/>
    <w:qFormat/>
    <w:rsid w:val="008C7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100"/>
  </w:style>
  <w:style w:type="paragraph" w:styleId="TableofFigures">
    <w:name w:val="table of figures"/>
    <w:basedOn w:val="Normal"/>
    <w:next w:val="Normal"/>
    <w:semiHidden/>
    <w:rsid w:val="008C7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100"/>
    <w:pPr>
      <w:numPr>
        <w:numId w:val="11"/>
      </w:numPr>
    </w:pPr>
  </w:style>
  <w:style w:type="character" w:customStyle="1" w:styleId="WingdingSymbols">
    <w:name w:val="Wingding Symbols"/>
    <w:rsid w:val="008C7100"/>
    <w:rPr>
      <w:rFonts w:ascii="Wingdings" w:hAnsi="Wingdings"/>
    </w:rPr>
  </w:style>
  <w:style w:type="paragraph" w:customStyle="1" w:styleId="TableHeading">
    <w:name w:val="Table Heading"/>
    <w:basedOn w:val="HeadingBase"/>
    <w:rsid w:val="008C7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100"/>
    <w:rPr>
      <w:color w:val="0033CC"/>
      <w:u w:val="none"/>
    </w:rPr>
  </w:style>
  <w:style w:type="paragraph" w:customStyle="1" w:styleId="BodyTextRight">
    <w:name w:val="Body Text Right"/>
    <w:basedOn w:val="BodyText"/>
    <w:rsid w:val="008C7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100"/>
    <w:rPr>
      <w:sz w:val="32"/>
    </w:rPr>
  </w:style>
  <w:style w:type="paragraph" w:customStyle="1" w:styleId="HeadingProcedure">
    <w:name w:val="Heading Procedure"/>
    <w:basedOn w:val="HeadingBase"/>
    <w:next w:val="Normal"/>
    <w:rsid w:val="008C7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100"/>
    <w:pPr>
      <w:spacing w:before="60" w:after="60"/>
    </w:pPr>
  </w:style>
  <w:style w:type="paragraph" w:styleId="ListContinue">
    <w:name w:val="List Continue"/>
    <w:basedOn w:val="List"/>
    <w:rsid w:val="008C7100"/>
    <w:pPr>
      <w:ind w:firstLine="0"/>
    </w:pPr>
  </w:style>
  <w:style w:type="paragraph" w:customStyle="1" w:styleId="ListNote">
    <w:name w:val="List Note"/>
    <w:basedOn w:val="List"/>
    <w:rsid w:val="008C7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100"/>
    <w:rPr>
      <w:rFonts w:ascii="Courier New" w:hAnsi="Courier New"/>
    </w:rPr>
  </w:style>
  <w:style w:type="paragraph" w:customStyle="1" w:styleId="NoteBullet">
    <w:name w:val="Note Bullet"/>
    <w:basedOn w:val="Note"/>
    <w:rsid w:val="008C7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1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100"/>
    <w:rPr>
      <w:b/>
      <w:smallCaps/>
    </w:rPr>
  </w:style>
  <w:style w:type="paragraph" w:customStyle="1" w:styleId="TableListNumber">
    <w:name w:val="Table List Number"/>
    <w:basedOn w:val="ListNumber"/>
    <w:rsid w:val="008C7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100"/>
    <w:pPr>
      <w:numPr>
        <w:numId w:val="9"/>
      </w:numPr>
    </w:pPr>
  </w:style>
  <w:style w:type="paragraph" w:customStyle="1" w:styleId="ListAlpha2">
    <w:name w:val="List Alpha 2"/>
    <w:basedOn w:val="List2"/>
    <w:rsid w:val="008C7100"/>
    <w:pPr>
      <w:numPr>
        <w:numId w:val="8"/>
      </w:numPr>
    </w:pPr>
  </w:style>
  <w:style w:type="paragraph" w:styleId="List2">
    <w:name w:val="List 2"/>
    <w:basedOn w:val="BodyText"/>
    <w:rsid w:val="008C7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10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1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100"/>
    <w:pPr>
      <w:numPr>
        <w:numId w:val="4"/>
      </w:numPr>
    </w:pPr>
  </w:style>
  <w:style w:type="paragraph" w:styleId="ListContinue2">
    <w:name w:val="List Continue 2"/>
    <w:basedOn w:val="List2"/>
    <w:rsid w:val="008C7100"/>
    <w:pPr>
      <w:ind w:firstLine="0"/>
    </w:pPr>
  </w:style>
  <w:style w:type="paragraph" w:styleId="ListContinue3">
    <w:name w:val="List Continue 3"/>
    <w:basedOn w:val="List3"/>
    <w:rsid w:val="008C7100"/>
    <w:pPr>
      <w:ind w:left="1021" w:firstLine="0"/>
    </w:pPr>
  </w:style>
  <w:style w:type="paragraph" w:styleId="ListContinue4">
    <w:name w:val="List Continue 4"/>
    <w:basedOn w:val="List4"/>
    <w:rsid w:val="008C7100"/>
    <w:pPr>
      <w:ind w:firstLine="0"/>
    </w:pPr>
  </w:style>
  <w:style w:type="paragraph" w:styleId="ListContinue5">
    <w:name w:val="List Continue 5"/>
    <w:basedOn w:val="List5"/>
    <w:rsid w:val="008C7100"/>
    <w:pPr>
      <w:ind w:firstLine="0"/>
    </w:pPr>
  </w:style>
  <w:style w:type="paragraph" w:styleId="ListNumber3">
    <w:name w:val="List Number 3"/>
    <w:basedOn w:val="List3"/>
    <w:rsid w:val="008C7100"/>
    <w:pPr>
      <w:numPr>
        <w:numId w:val="5"/>
      </w:numPr>
    </w:pPr>
  </w:style>
  <w:style w:type="paragraph" w:styleId="ListNumber4">
    <w:name w:val="List Number 4"/>
    <w:basedOn w:val="List4"/>
    <w:rsid w:val="008C7100"/>
    <w:pPr>
      <w:numPr>
        <w:numId w:val="6"/>
      </w:numPr>
    </w:pPr>
  </w:style>
  <w:style w:type="paragraph" w:styleId="ListNumber5">
    <w:name w:val="List Number 5"/>
    <w:basedOn w:val="List5"/>
    <w:rsid w:val="008C7100"/>
    <w:pPr>
      <w:numPr>
        <w:numId w:val="7"/>
      </w:numPr>
    </w:pPr>
  </w:style>
  <w:style w:type="paragraph" w:styleId="BlockText">
    <w:name w:val="Block Text"/>
    <w:basedOn w:val="Normal"/>
    <w:rsid w:val="008C7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100"/>
    <w:rPr>
      <w:sz w:val="16"/>
      <w:vertAlign w:val="superscript"/>
    </w:rPr>
  </w:style>
  <w:style w:type="character" w:customStyle="1" w:styleId="Symbols">
    <w:name w:val="Symbols"/>
    <w:basedOn w:val="DefaultParagraphFont"/>
    <w:rsid w:val="008C7100"/>
    <w:rPr>
      <w:rFonts w:ascii="Symbol" w:hAnsi="Symbol"/>
    </w:rPr>
  </w:style>
  <w:style w:type="character" w:customStyle="1" w:styleId="MenuOptions">
    <w:name w:val="Menu Options"/>
    <w:basedOn w:val="DefaultParagraphFont"/>
    <w:rsid w:val="008C7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100"/>
    <w:rPr>
      <w:b/>
    </w:rPr>
  </w:style>
  <w:style w:type="character" w:customStyle="1" w:styleId="Underlined">
    <w:name w:val="Underlined"/>
    <w:basedOn w:val="DefaultParagraphFont"/>
    <w:rsid w:val="008C7100"/>
    <w:rPr>
      <w:u w:val="single"/>
    </w:rPr>
  </w:style>
  <w:style w:type="paragraph" w:customStyle="1" w:styleId="TableBodyTextRight">
    <w:name w:val="Table Body Text Right"/>
    <w:basedOn w:val="TableBodyText"/>
    <w:rsid w:val="008C7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100"/>
    <w:rPr>
      <w:sz w:val="18"/>
    </w:rPr>
  </w:style>
  <w:style w:type="paragraph" w:customStyle="1" w:styleId="BodySmallRight">
    <w:name w:val="Body Small Right"/>
    <w:basedOn w:val="BodyTextRight"/>
    <w:rsid w:val="008C7100"/>
    <w:rPr>
      <w:sz w:val="18"/>
      <w:szCs w:val="18"/>
    </w:rPr>
  </w:style>
  <w:style w:type="paragraph" w:customStyle="1" w:styleId="MarginEdition">
    <w:name w:val="Margin Edition"/>
    <w:basedOn w:val="MarginNote"/>
    <w:rsid w:val="008C7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100"/>
    <w:rPr>
      <w:sz w:val="2"/>
      <w:szCs w:val="2"/>
    </w:rPr>
  </w:style>
  <w:style w:type="character" w:customStyle="1" w:styleId="Small">
    <w:name w:val="Small"/>
    <w:basedOn w:val="DefaultParagraphFont"/>
    <w:rsid w:val="008C7100"/>
    <w:rPr>
      <w:sz w:val="16"/>
    </w:rPr>
  </w:style>
  <w:style w:type="paragraph" w:customStyle="1" w:styleId="WideTable">
    <w:name w:val="Wide Table"/>
    <w:basedOn w:val="Normal"/>
    <w:rsid w:val="008C7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100"/>
  </w:style>
  <w:style w:type="paragraph" w:styleId="Quote">
    <w:name w:val="Quote"/>
    <w:basedOn w:val="Heading1"/>
    <w:link w:val="QuoteChar"/>
    <w:qFormat/>
    <w:rsid w:val="008C7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100"/>
    <w:pPr>
      <w:pageBreakBefore/>
    </w:pPr>
  </w:style>
  <w:style w:type="paragraph" w:customStyle="1" w:styleId="Border">
    <w:name w:val="Border"/>
    <w:basedOn w:val="Normal"/>
    <w:qFormat/>
    <w:rsid w:val="008C7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100"/>
    <w:rPr>
      <w:u w:val="single"/>
    </w:rPr>
  </w:style>
  <w:style w:type="character" w:customStyle="1" w:styleId="BoldandItalics">
    <w:name w:val="Bold and Italics"/>
    <w:qFormat/>
    <w:rsid w:val="008C7100"/>
    <w:rPr>
      <w:b/>
      <w:i/>
      <w:u w:val="none"/>
    </w:rPr>
  </w:style>
  <w:style w:type="paragraph" w:styleId="BalloonText">
    <w:name w:val="Balloon Text"/>
    <w:basedOn w:val="Normal"/>
    <w:link w:val="BalloonTextChar"/>
    <w:rsid w:val="008C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1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1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3567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MSS017001 Analyse and determine organisational risk areas in sustainability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2016-06-22T08:39:00Z</dcterms:created>
  <dcterms:modified xsi:type="dcterms:W3CDTF">2016-06-22T08:39:00Z</dcterms:modified>
</cp:coreProperties>
</file>