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12C" w:rsidP="00023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MSS015054 Lead circular economy initiatives in the supply chain</w:t>
      </w:r>
      <w:r>
        <w:fldChar w:fldCharType="end"/>
      </w:r>
    </w:p>
    <w:p w:rsidR="0002312C" w:rsidP="0002312C">
      <w:pPr>
        <w:pStyle w:val="Version"/>
        <w:sectPr w:rsidSect="00AB2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592" w:rsidP="00AB2592">
      <w:pPr>
        <w:pStyle w:val="SuperHeading"/>
      </w:pPr>
      <w:r w:rsidRPr="00AB2592">
        <w:t>MSS015054 Lead circular economy initiatives in the supply chain</w:t>
      </w:r>
    </w:p>
    <w:p w:rsidR="00000000" w:rsidRPr="00AB2592" w:rsidP="00AB2592">
      <w:pPr>
        <w:pStyle w:val="Heading1"/>
      </w:pPr>
      <w:bookmarkStart w:id="1" w:name="O_1260910"/>
      <w:bookmarkEnd w:id="1"/>
      <w:r w:rsidRPr="00AB2592">
        <w:t>Modification History</w:t>
      </w:r>
    </w:p>
    <w:p w:rsidR="0002312C" w:rsidP="0002312C">
      <w:pPr>
        <w:pStyle w:val="BodyText"/>
      </w:pPr>
      <w:r w:rsidRPr="00AB2592">
        <w:t>Release 1. New unit.</w:t>
      </w:r>
    </w:p>
    <w:p w:rsidR="00000000" w:rsidRPr="00AB2592" w:rsidP="00AB2592">
      <w:pPr>
        <w:pStyle w:val="Heading1"/>
      </w:pPr>
      <w:bookmarkStart w:id="2" w:name="O_1260911"/>
      <w:bookmarkEnd w:id="2"/>
      <w:r w:rsidRPr="00AB2592">
        <w:t>Application</w:t>
      </w:r>
    </w:p>
    <w:p w:rsidR="00000000" w:rsidRPr="00AB2592" w:rsidP="0002312C">
      <w:pPr>
        <w:pStyle w:val="BodyText"/>
      </w:pPr>
      <w:r w:rsidRPr="00AB2592">
        <w:t xml:space="preserve">This unit describes the skills and knowledge required to lead processes to determine </w:t>
      </w:r>
      <w:r w:rsidRPr="00AB2592">
        <w:t xml:space="preserve">and implement changes in the supply chain which support circularity. </w:t>
      </w:r>
    </w:p>
    <w:p w:rsidR="00000000" w:rsidRPr="00AB2592" w:rsidP="0002312C">
      <w:pPr>
        <w:pStyle w:val="BodyText"/>
      </w:pPr>
      <w:r w:rsidRPr="00AB2592">
        <w:t xml:space="preserve">This unit applies to managers, supply chain specialists, technical specialists or similar roles with authority and influence to drive change through specific initiatives. The individual </w:t>
      </w:r>
      <w:r w:rsidRPr="00AB2592">
        <w:t>will map the supply chain for a process, product or service, identify opportunities for improved circularity, facilitate others’ understanding of and engagement with circularity, lead the implementation of improvements and help to embed the improvements wi</w:t>
      </w:r>
      <w:r w:rsidRPr="00AB2592">
        <w:t xml:space="preserve">thin the organisation.   </w:t>
      </w:r>
    </w:p>
    <w:p w:rsidR="00000000" w:rsidRPr="00AB2592" w:rsidP="0002312C">
      <w:pPr>
        <w:pStyle w:val="BodyText"/>
      </w:pPr>
      <w:r w:rsidRPr="00AB2592">
        <w:t xml:space="preserve">In this unit, the supply chain focus is on the procurement and/or management of infrastructure, resources and/or services for the organisation to deliver its core functions, products and/or services. </w:t>
      </w:r>
    </w:p>
    <w:p w:rsidR="00000000" w:rsidRPr="00AB2592" w:rsidP="0002312C">
      <w:pPr>
        <w:pStyle w:val="BodyText"/>
      </w:pPr>
      <w:r w:rsidRPr="00AB2592">
        <w:t>For the purposes of this unit</w:t>
      </w:r>
      <w:r w:rsidRPr="00AB2592">
        <w:t>, circularity refers to the application of decisions and activities designed to move the organisation towards a non-waste scenario that is in equilibrium and which supports regeneration of natural systems. Circularity improvements will typically align to o</w:t>
      </w:r>
      <w:r w:rsidRPr="00AB2592">
        <w:t>ne or more aspects of the currently accepted frameworks of 3 Circular Economy principles and 5 Circular Economy business models.</w:t>
      </w:r>
    </w:p>
    <w:p w:rsidR="00000000" w:rsidRPr="00AB2592" w:rsidP="0002312C">
      <w:pPr>
        <w:pStyle w:val="BodyText"/>
      </w:pPr>
      <w:r w:rsidRPr="00AB2592">
        <w:t>This unit applies to any organisation.</w:t>
      </w:r>
    </w:p>
    <w:p w:rsidR="0002312C" w:rsidP="0002312C">
      <w:pPr>
        <w:pStyle w:val="BodyText"/>
      </w:pPr>
      <w:r w:rsidRPr="00AB2592">
        <w:t>No licensing or certification requirements exist at the time of publication. Relevant le</w:t>
      </w:r>
      <w:r w:rsidRPr="00AB2592">
        <w:t xml:space="preserve">gislation, industry standards and codes of practice within Australia must be applied. </w:t>
      </w:r>
    </w:p>
    <w:p w:rsidR="00000000" w:rsidRPr="00AB2592" w:rsidP="00AB2592">
      <w:pPr>
        <w:pStyle w:val="Heading1"/>
      </w:pPr>
      <w:bookmarkStart w:id="3" w:name="O_1260913"/>
      <w:bookmarkEnd w:id="3"/>
      <w:r w:rsidRPr="00AB2592">
        <w:t>Competency Field</w:t>
      </w:r>
    </w:p>
    <w:p w:rsidR="0002312C" w:rsidP="0002312C">
      <w:pPr>
        <w:pStyle w:val="BodyText"/>
      </w:pPr>
      <w:r w:rsidRPr="00AB2592">
        <w:t>Sustainable Operations</w:t>
      </w:r>
    </w:p>
    <w:p w:rsidR="00000000" w:rsidRPr="00AB2592" w:rsidP="00AB2592">
      <w:pPr>
        <w:pStyle w:val="Heading1"/>
      </w:pPr>
      <w:bookmarkStart w:id="4" w:name="O_1260915"/>
      <w:bookmarkEnd w:id="4"/>
      <w:r w:rsidRPr="00AB25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rPr>
                <w:rStyle w:val="SpecialBold"/>
              </w:rPr>
              <w:t>Performance Criteria</w:t>
            </w:r>
          </w:p>
        </w:tc>
      </w:tr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>Performance criteria describe the performance needed to demonstrate achievement of the element.</w:t>
            </w:r>
          </w:p>
        </w:tc>
      </w:tr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 xml:space="preserve">1. Determine circularity context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>1.1 Map existing supply chain for a process, product or service to identify key ste</w:t>
            </w:r>
            <w:r w:rsidRPr="00AB2592">
              <w:t xml:space="preserve">ps and actors </w:t>
            </w:r>
          </w:p>
          <w:p w:rsidR="00000000" w:rsidRPr="00AB2592" w:rsidP="00AB2592">
            <w:pPr>
              <w:pStyle w:val="BodyText"/>
            </w:pPr>
            <w:r w:rsidRPr="00AB2592">
              <w:t>1.2 Review circularity principles and practices for relevance to organisation’s supply chain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1.3 Review current and proposed legislation, regulations, standards and codes for supply chain requirements relevant to circularity </w:t>
            </w:r>
          </w:p>
          <w:p w:rsidR="00000000" w:rsidRPr="00AB2592" w:rsidP="00AB2592">
            <w:pPr>
              <w:pStyle w:val="BodyText"/>
            </w:pPr>
            <w:r w:rsidRPr="00AB2592">
              <w:t>1.4 Identify su</w:t>
            </w:r>
            <w:r w:rsidRPr="00AB2592">
              <w:t xml:space="preserve">pply chain decisions and/or processes with potential for circularity improvements </w:t>
            </w:r>
          </w:p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>1.5 Determine criteria, relevant to the context, for selection of circularity improvements</w:t>
            </w:r>
          </w:p>
        </w:tc>
      </w:tr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>2. Determine opportunities for circularity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 xml:space="preserve">2.1 Investigate identified supply chain decisions and/or processes to determine options for circularity improvements  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2.2 Apply selection criteria to identify options for further development </w:t>
            </w:r>
          </w:p>
          <w:p w:rsidR="00000000" w:rsidRPr="00AB2592" w:rsidP="00AB2592">
            <w:pPr>
              <w:pStyle w:val="BodyText"/>
            </w:pPr>
            <w:r w:rsidRPr="00AB2592">
              <w:t>2.3 Identify stakeholders and their stake in selected improveme</w:t>
            </w:r>
            <w:r w:rsidRPr="00AB2592">
              <w:t xml:space="preserve">nt options </w:t>
            </w:r>
          </w:p>
          <w:p w:rsidR="00000000" w:rsidRPr="00AB2592" w:rsidP="00AB2592">
            <w:pPr>
              <w:pStyle w:val="BodyText"/>
            </w:pPr>
            <w:r w:rsidRPr="00AB2592">
              <w:t>2.4 Determine stakeholder needs for information and/or other development in relation to circularity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2.5 Collaborate with key stakeholders to define scope and develop implementation plans for selected options 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2.6 Determine likely outcomes from </w:t>
            </w:r>
            <w:r w:rsidRPr="00AB2592">
              <w:t xml:space="preserve">selected options in terms of system-wide impacts, costs, risks and benefits </w:t>
            </w:r>
          </w:p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>2.7 Evaluate likely outcomes to select priority initiatives</w:t>
            </w:r>
          </w:p>
        </w:tc>
      </w:tr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>3. Determine agreed initiatives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>3.1 Provide information and facilitate communications with key stakeholders to promot</w:t>
            </w:r>
            <w:r w:rsidRPr="00AB2592">
              <w:t>e understanding of and engagement with circularity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3.2 Facilitate stakeholder input to evaluate and, if needed, amend initiatives 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3.3 Facilitate stakeholder agreement on initiatives to be implemented </w:t>
            </w:r>
          </w:p>
          <w:p w:rsidR="00000000" w:rsidRPr="00AB2592" w:rsidP="00AB2592">
            <w:pPr>
              <w:pStyle w:val="BodyText"/>
            </w:pPr>
            <w:r w:rsidRPr="00AB2592">
              <w:t>3.4 Determine metrics for implementation of and desire</w:t>
            </w:r>
            <w:r w:rsidRPr="00AB2592">
              <w:t>d outcomes from initiatives</w:t>
            </w:r>
          </w:p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>3.5 Facilitate organisational approvals, resources and other support for initiatives</w:t>
            </w:r>
          </w:p>
        </w:tc>
      </w:tr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 xml:space="preserve">4. Oversee implementation of </w:t>
            </w:r>
            <w:r w:rsidRPr="00AB2592">
              <w:t>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 xml:space="preserve">4.1 Liaise with relevant stakeholders to develop detailed work or project plans </w:t>
            </w:r>
          </w:p>
          <w:p w:rsidR="00000000" w:rsidRPr="00AB2592" w:rsidP="00AB2592">
            <w:pPr>
              <w:pStyle w:val="BodyText"/>
            </w:pPr>
            <w:r w:rsidRPr="00AB2592">
              <w:t>4.2 Incorporate inp</w:t>
            </w:r>
            <w:r w:rsidRPr="00AB2592">
              <w:t>ut from supply chain personnel and reference/s to supply chain procedures in work or project plans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4.3 Oversee and assist with implementation of improvements 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4.4 Facilitate processes with stakeholders and, if needed, specialists to resolve problems </w:t>
            </w:r>
          </w:p>
          <w:p w:rsidR="00000000" w:rsidRPr="00AB2592" w:rsidP="00AB2592">
            <w:pPr>
              <w:pStyle w:val="BodyText"/>
            </w:pPr>
            <w:r w:rsidRPr="00AB2592">
              <w:t>4.5 Provide guidance and assistance to others to champion circularity and build capacity</w:t>
            </w:r>
          </w:p>
          <w:p w:rsidR="00000000" w:rsidP="00AB2592">
            <w:pPr>
              <w:pStyle w:val="BodyText"/>
              <w:rPr>
                <w:lang w:val="en-NZ"/>
              </w:rPr>
            </w:pPr>
            <w:r w:rsidRPr="00AB2592">
              <w:t xml:space="preserve">4.6 Monitor implementation metrics and take action to adjust implementation, as required, in response to issues </w:t>
            </w:r>
          </w:p>
        </w:tc>
      </w:tr>
      <w:tr w:rsidTr="0002312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>5. Finalise improvements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592" w:rsidP="00AB2592">
            <w:pPr>
              <w:pStyle w:val="BodyText"/>
            </w:pPr>
            <w:r w:rsidRPr="00AB2592">
              <w:t>5.1 Evaluate metrics and fe</w:t>
            </w:r>
            <w:r w:rsidRPr="00AB2592">
              <w:t xml:space="preserve">edback from stakeholders to determine effectiveness of changes </w:t>
            </w:r>
          </w:p>
          <w:p w:rsidR="00000000" w:rsidRPr="00AB2592" w:rsidP="00AB2592">
            <w:pPr>
              <w:pStyle w:val="BodyText"/>
            </w:pPr>
            <w:r w:rsidRPr="00AB2592">
              <w:t>5.2 Determine and oversee amendments needed to achieve desired outcomes</w:t>
            </w:r>
          </w:p>
          <w:p w:rsidR="00000000" w:rsidRPr="00AB2592" w:rsidP="00AB2592">
            <w:pPr>
              <w:pStyle w:val="BodyText"/>
            </w:pPr>
            <w:r w:rsidRPr="00AB2592">
              <w:t xml:space="preserve">5.3 Oversee updates to systems, procedures and related documentation to support sustaining of successful improvements </w:t>
            </w:r>
          </w:p>
          <w:p w:rsidR="00000000" w:rsidRPr="00AB2592" w:rsidP="00AB2592">
            <w:pPr>
              <w:pStyle w:val="BodyText"/>
            </w:pPr>
            <w:r w:rsidRPr="00AB2592">
              <w:t>5</w:t>
            </w:r>
            <w:r w:rsidRPr="00AB2592">
              <w:t xml:space="preserve">.4 Oversee development and dissemination of communications to support sustaining of successful improvements </w:t>
            </w:r>
          </w:p>
        </w:tc>
      </w:tr>
    </w:tbl>
    <w:p w:rsidR="0002312C" w:rsidP="00AB2592">
      <w:pPr>
        <w:pStyle w:val="BodyText"/>
      </w:pPr>
    </w:p>
    <w:p w:rsidR="0002312C" w:rsidP="00AB2592">
      <w:pPr>
        <w:pStyle w:val="BodyText"/>
      </w:pPr>
    </w:p>
    <w:p w:rsidR="00000000" w:rsidRPr="00AB2592" w:rsidP="00AB2592">
      <w:pPr>
        <w:pStyle w:val="Heading1"/>
      </w:pPr>
      <w:bookmarkStart w:id="5" w:name="O_1260916"/>
      <w:bookmarkEnd w:id="5"/>
      <w:r w:rsidRPr="00AB2592">
        <w:t>Foundation Skills</w:t>
      </w:r>
    </w:p>
    <w:p w:rsidR="00000000" w:rsidRPr="00AB2592" w:rsidP="0002312C">
      <w:pPr>
        <w:pStyle w:val="BodyText"/>
      </w:pPr>
      <w:r w:rsidRPr="00AB2592">
        <w:t>This section describes those language, lieracy, numeracy and employment skills that are essential to perfor</w:t>
      </w:r>
      <w:r w:rsidRPr="00AB2592">
        <w:t>mance but not explicit in the performance of criteria.</w:t>
      </w:r>
    </w:p>
    <w:p w:rsidR="00000000" w:rsidRPr="00AB2592" w:rsidP="00AB2592">
      <w:pPr>
        <w:pStyle w:val="ListBullet2"/>
      </w:pPr>
      <w:r w:rsidRPr="00AB2592">
        <w:t>Reading skills to interpret workplace documentation</w:t>
      </w:r>
    </w:p>
    <w:p w:rsidR="00000000" w:rsidRPr="00AB2592" w:rsidP="00AB2592">
      <w:pPr>
        <w:pStyle w:val="ListBullet2"/>
      </w:pPr>
      <w:r w:rsidRPr="00AB2592">
        <w:t>Writing skills to communicate with a range of audiences</w:t>
      </w:r>
    </w:p>
    <w:p w:rsidR="00000000" w:rsidRPr="00AB2592" w:rsidP="00AB2592">
      <w:pPr>
        <w:pStyle w:val="ListBullet2"/>
      </w:pPr>
      <w:r w:rsidRPr="00AB2592">
        <w:t>Oral communication skills to facilitate engagement and agreement, communicate with a range of stakeholders</w:t>
      </w:r>
    </w:p>
    <w:p w:rsidR="00000000" w:rsidRPr="00AB2592" w:rsidP="00AB2592">
      <w:pPr>
        <w:pStyle w:val="ListBullet2"/>
      </w:pPr>
      <w:r w:rsidRPr="00AB2592">
        <w:t>Numeracy skills to interpret metrics.</w:t>
      </w:r>
    </w:p>
    <w:p w:rsidR="00000000" w:rsidRPr="00AB2592" w:rsidP="0002312C">
      <w:pPr>
        <w:pStyle w:val="BodyText"/>
      </w:pPr>
      <w:r w:rsidRPr="00AB2592">
        <w:t>Other foundation skills eseential to performance are explicit in the performance criteria of this unit.</w:t>
      </w:r>
    </w:p>
    <w:p w:rsidR="00000000" w:rsidRPr="00AB2592" w:rsidP="00AB2592">
      <w:pPr>
        <w:pStyle w:val="Heading1"/>
      </w:pPr>
      <w:bookmarkStart w:id="6" w:name="O_1260918"/>
      <w:bookmarkEnd w:id="6"/>
      <w:r w:rsidRPr="00AB2592">
        <w:t>Unit Mapping Information</w:t>
      </w:r>
    </w:p>
    <w:p w:rsidR="0002312C" w:rsidP="0002312C">
      <w:pPr>
        <w:pStyle w:val="BodyText"/>
      </w:pPr>
      <w:r w:rsidRPr="00AB2592">
        <w:t>No equivalent unit.</w:t>
      </w:r>
    </w:p>
    <w:p w:rsidR="00000000" w:rsidRPr="00AB2592" w:rsidP="00AB2592">
      <w:pPr>
        <w:pStyle w:val="Heading1"/>
      </w:pPr>
      <w:bookmarkStart w:id="7" w:name="O_1260925"/>
      <w:bookmarkEnd w:id="7"/>
      <w:r w:rsidRPr="00AB2592">
        <w:t>Links</w:t>
      </w:r>
    </w:p>
    <w:p w:rsidR="00000000" w:rsidRPr="00AB2592" w:rsidP="0002312C">
      <w:pPr>
        <w:pStyle w:val="BodyText"/>
      </w:pPr>
      <w:r w:rsidRPr="00AB259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066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B2592" w:rsidP="0002312C">
      <w:pPr>
        <w:pStyle w:val="BodyText"/>
        <w:sectPr w:rsidSect="00AB25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2592" w:rsidP="00AB2592">
      <w:pPr>
        <w:pStyle w:val="SuperHeading"/>
      </w:pPr>
      <w:r w:rsidRPr="00AB2592">
        <w:t>Assessment Requirements for MSS015054 Lead circular economy initiatives in the supply chain</w:t>
      </w:r>
    </w:p>
    <w:p w:rsidR="00000000" w:rsidRPr="00AB2592" w:rsidP="00AB2592">
      <w:pPr>
        <w:pStyle w:val="Heading1"/>
      </w:pPr>
      <w:bookmarkStart w:id="8" w:name="O_1260920"/>
      <w:bookmarkEnd w:id="8"/>
      <w:r w:rsidRPr="00AB2592">
        <w:t>Modification History</w:t>
      </w:r>
    </w:p>
    <w:p w:rsidR="0002312C" w:rsidP="0002312C">
      <w:pPr>
        <w:pStyle w:val="BodyText"/>
      </w:pPr>
      <w:r w:rsidRPr="00AB2592">
        <w:t>Release 1. New unit.</w:t>
      </w:r>
    </w:p>
    <w:p w:rsidR="00000000" w:rsidRPr="00AB2592" w:rsidP="00AB2592">
      <w:pPr>
        <w:pStyle w:val="Heading1"/>
      </w:pPr>
      <w:bookmarkStart w:id="9" w:name="O_1260921"/>
      <w:bookmarkEnd w:id="9"/>
      <w:r w:rsidRPr="00AB2592">
        <w:t>Performance Evidence</w:t>
      </w:r>
    </w:p>
    <w:p w:rsidR="00000000" w:rsidRPr="00AB2592" w:rsidP="0002312C">
      <w:pPr>
        <w:pStyle w:val="BodyText"/>
      </w:pPr>
      <w:r w:rsidRPr="00AB2592">
        <w:t>There must be evidence the candidate has completed the tasks outlined in the elements and performance criteria of this unit, and demonstrated the ability to:</w:t>
      </w:r>
    </w:p>
    <w:p w:rsidR="00000000" w:rsidRPr="00AB2592" w:rsidP="00AB2592">
      <w:pPr>
        <w:pStyle w:val="ListBullet"/>
      </w:pPr>
      <w:r w:rsidRPr="00AB2592">
        <w:t xml:space="preserve">identify and document the key steps and actors in the supply chain, or a significant part of the </w:t>
      </w:r>
      <w:r w:rsidRPr="00AB2592">
        <w:t xml:space="preserve">supply chain, for a process, product or service </w:t>
      </w:r>
    </w:p>
    <w:p w:rsidR="0002312C" w:rsidP="00AB2592">
      <w:pPr>
        <w:pStyle w:val="ListBullet"/>
      </w:pPr>
      <w:r w:rsidRPr="00AB2592">
        <w:t xml:space="preserve">facilitate communications and activities with at least 3 other people to define, implement and embed at least 1 improvement to circularity in the supply chain. </w:t>
      </w:r>
    </w:p>
    <w:p w:rsidR="0002312C" w:rsidP="00AB2592">
      <w:pPr>
        <w:pStyle w:val="ListBullet"/>
      </w:pPr>
    </w:p>
    <w:p w:rsidR="00000000" w:rsidRPr="00AB2592" w:rsidP="00AB2592">
      <w:pPr>
        <w:pStyle w:val="Heading1"/>
      </w:pPr>
      <w:bookmarkStart w:id="10" w:name="O_1260922"/>
      <w:bookmarkEnd w:id="10"/>
      <w:r w:rsidRPr="00AB2592">
        <w:t>Knowledge Evidence</w:t>
      </w:r>
    </w:p>
    <w:p w:rsidR="00000000" w:rsidRPr="00AB2592" w:rsidP="0002312C">
      <w:pPr>
        <w:pStyle w:val="BodyText"/>
      </w:pPr>
      <w:r w:rsidRPr="00AB2592">
        <w:t>There m</w:t>
      </w:r>
      <w:r w:rsidRPr="00AB2592">
        <w:t>ust be evidence the candidate has knowledge of:</w:t>
      </w:r>
    </w:p>
    <w:p w:rsidR="00000000" w:rsidRPr="00AB2592" w:rsidP="00AB2592">
      <w:pPr>
        <w:pStyle w:val="ListBullet"/>
      </w:pPr>
      <w:r w:rsidRPr="00AB2592">
        <w:t>current and emerging industry practices, and their relationship to supply chain, in at least 4 of the following areas:</w:t>
      </w:r>
    </w:p>
    <w:p w:rsidR="00000000" w:rsidRPr="00AB2592" w:rsidP="00AB2592">
      <w:pPr>
        <w:pStyle w:val="ListBullet2"/>
      </w:pPr>
      <w:r w:rsidRPr="00AB2592">
        <w:t>extended product lifecycle and retraining and / or managing residual resources</w:t>
      </w:r>
    </w:p>
    <w:p w:rsidR="00000000" w:rsidRPr="00AB2592" w:rsidP="00AB2592">
      <w:pPr>
        <w:pStyle w:val="ListBullet2"/>
      </w:pPr>
      <w:r w:rsidRPr="00AB2592">
        <w:t>digitisa</w:t>
      </w:r>
      <w:r w:rsidRPr="00AB2592">
        <w:t>tion and dematerialisation</w:t>
      </w:r>
    </w:p>
    <w:p w:rsidR="00000000" w:rsidRPr="00AB2592" w:rsidP="00AB2592">
      <w:pPr>
        <w:pStyle w:val="ListBullet2"/>
      </w:pPr>
      <w:r w:rsidRPr="00AB2592">
        <w:t>safety and / or environmental impact of materials</w:t>
      </w:r>
    </w:p>
    <w:p w:rsidR="00000000" w:rsidRPr="00AB2592" w:rsidP="00AB2592">
      <w:pPr>
        <w:pStyle w:val="ListBullet2"/>
      </w:pPr>
      <w:r w:rsidRPr="00AB2592">
        <w:t>efficient use of materials, resources and / or energy</w:t>
      </w:r>
    </w:p>
    <w:p w:rsidR="00000000" w:rsidRPr="00AB2592" w:rsidP="00AB2592">
      <w:pPr>
        <w:pStyle w:val="ListBullet2"/>
      </w:pPr>
      <w:r w:rsidRPr="00AB2592">
        <w:t>reduction of pollution and / or greenhouse gas emissions</w:t>
      </w:r>
    </w:p>
    <w:p w:rsidR="00000000" w:rsidRPr="00AB2592" w:rsidP="00AB2592">
      <w:pPr>
        <w:pStyle w:val="ListBullet2"/>
      </w:pPr>
      <w:r w:rsidRPr="00AB2592">
        <w:t>packaging and waste management</w:t>
      </w:r>
    </w:p>
    <w:p w:rsidR="00000000" w:rsidRPr="00AB2592" w:rsidP="00AB2592">
      <w:pPr>
        <w:pStyle w:val="ListBullet2"/>
      </w:pPr>
      <w:r w:rsidRPr="00AB2592">
        <w:t>human rights in the value chain</w:t>
      </w:r>
    </w:p>
    <w:p w:rsidR="00000000" w:rsidRPr="00AB2592" w:rsidP="00AB2592">
      <w:pPr>
        <w:pStyle w:val="ListBullet2"/>
      </w:pPr>
      <w:r w:rsidRPr="00AB2592">
        <w:t>employee safety, health and wellbeing</w:t>
      </w:r>
    </w:p>
    <w:p w:rsidR="00000000" w:rsidRPr="00AB2592" w:rsidP="00AB2592">
      <w:pPr>
        <w:pStyle w:val="ListBullet2"/>
      </w:pPr>
      <w:r w:rsidRPr="00AB2592">
        <w:t>environmental monitoring and remediation</w:t>
      </w:r>
    </w:p>
    <w:p w:rsidR="00000000" w:rsidRPr="00AB2592" w:rsidP="00AB2592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AB2592">
        <w:t>approaches to quantifying and evaluating costs, benefits, impacts and risks in relation to sustainability including direct, indirect and intangible factors</w:t>
      </w:r>
    </w:p>
    <w:p w:rsidR="00000000" w:rsidRPr="00AB2592" w:rsidP="00AB2592">
      <w:pPr>
        <w:pStyle w:val="ListBullet"/>
      </w:pPr>
      <w:r w:rsidRPr="00AB2592">
        <w:t>current and emergin</w:t>
      </w:r>
      <w:r w:rsidRPr="00AB2592">
        <w:t xml:space="preserve">g technologies that support circularity </w:t>
      </w:r>
    </w:p>
    <w:p w:rsidR="00000000" w:rsidRPr="00AB2592" w:rsidP="00AB2592">
      <w:pPr>
        <w:pStyle w:val="ListBullet"/>
      </w:pPr>
      <w:r w:rsidRPr="00AB2592">
        <w:t>impact of supply chain decisions on:</w:t>
      </w:r>
    </w:p>
    <w:p w:rsidR="00000000" w:rsidRPr="00AB2592" w:rsidP="00AB2592">
      <w:pPr>
        <w:pStyle w:val="ListBullet2"/>
      </w:pPr>
      <w:r w:rsidRPr="00AB2592">
        <w:t>energy usage and/or carbon footprint</w:t>
      </w:r>
    </w:p>
    <w:p w:rsidR="00000000" w:rsidRPr="00AB2592" w:rsidP="00AB2592">
      <w:pPr>
        <w:pStyle w:val="ListBullet2"/>
      </w:pPr>
      <w:r w:rsidRPr="00AB2592">
        <w:t>water usage and/or water footprint</w:t>
      </w:r>
    </w:p>
    <w:p w:rsidR="00000000" w:rsidRPr="00AB2592" w:rsidP="00AB2592">
      <w:pPr>
        <w:pStyle w:val="ListBullet2"/>
      </w:pPr>
      <w:r w:rsidRPr="00AB2592">
        <w:t>waste generation and waste management</w:t>
      </w:r>
    </w:p>
    <w:p w:rsidR="00000000" w:rsidRPr="00AB2592" w:rsidP="00AB2592">
      <w:pPr>
        <w:pStyle w:val="ListBullet2"/>
      </w:pPr>
      <w:r w:rsidRPr="00AB2592">
        <w:t xml:space="preserve">natural environment </w:t>
      </w:r>
    </w:p>
    <w:p w:rsidR="00000000" w:rsidRPr="00AB2592" w:rsidP="00AB2592">
      <w:pPr>
        <w:pStyle w:val="ListBullet2"/>
      </w:pPr>
      <w:r w:rsidRPr="00AB2592">
        <w:t>local and global communities</w:t>
      </w:r>
    </w:p>
    <w:p w:rsidR="00000000" w:rsidRPr="00AB2592" w:rsidP="00AB2592">
      <w:pPr>
        <w:pStyle w:val="ListBullet"/>
      </w:pPr>
      <w:r>
        <w:rPr>
          <w:rStyle w:val="SpecialBold"/>
        </w:rPr>
        <w:t>•</w:t>
      </w:r>
      <w:r>
        <w:rPr>
          <w:rStyle w:val="SpecialBold"/>
        </w:rPr>
        <w:tab/>
      </w:r>
      <w:r w:rsidRPr="00AB2592">
        <w:t>supply chain risk and risk management strategies</w:t>
      </w:r>
    </w:p>
    <w:p w:rsidR="00000000" w:rsidRPr="00AB2592" w:rsidP="00AB2592">
      <w:pPr>
        <w:pStyle w:val="ListBullet"/>
      </w:pPr>
      <w:r w:rsidRPr="00AB2592">
        <w:t>legislation, regulations, standards and voluntary codes relevant to supply chain and circularity</w:t>
      </w:r>
    </w:p>
    <w:p w:rsidR="00000000" w:rsidRPr="00AB2592" w:rsidP="00AB2592">
      <w:pPr>
        <w:pStyle w:val="ListBullet"/>
      </w:pPr>
      <w:r w:rsidRPr="00AB2592">
        <w:t>techniques to facilitate communication and collaboration</w:t>
      </w:r>
    </w:p>
    <w:p w:rsidR="00000000" w:rsidRPr="00AB2592" w:rsidP="00AB2592">
      <w:pPr>
        <w:pStyle w:val="ListBullet"/>
      </w:pPr>
      <w:r w:rsidRPr="00AB2592">
        <w:t>communication styles, methods and media to suit a ran</w:t>
      </w:r>
      <w:r w:rsidRPr="00AB2592">
        <w:t>ge of audiences.</w:t>
      </w:r>
    </w:p>
    <w:p w:rsidR="00000000" w:rsidRPr="00AB2592" w:rsidP="00AB2592">
      <w:pPr>
        <w:pStyle w:val="BodyText"/>
      </w:pPr>
    </w:p>
    <w:p w:rsidR="00000000" w:rsidRPr="00AB2592" w:rsidP="00AB2592">
      <w:pPr>
        <w:pStyle w:val="BodyText"/>
      </w:pPr>
      <w:r w:rsidRPr="00AB2592">
        <w:rPr>
          <w:rStyle w:val="SpecialBold"/>
        </w:rPr>
        <w:t>  </w:t>
      </w:r>
    </w:p>
    <w:p w:rsidR="0002312C" w:rsidP="00AB2592">
      <w:pPr>
        <w:pStyle w:val="BodyText"/>
      </w:pPr>
      <w:r w:rsidRPr="00AB2592">
        <w:rPr>
          <w:rStyle w:val="SpecialBold"/>
        </w:rPr>
        <w:t> </w:t>
      </w:r>
    </w:p>
    <w:p w:rsidR="0002312C" w:rsidP="00AB2592">
      <w:pPr>
        <w:pStyle w:val="BodyText"/>
      </w:pPr>
    </w:p>
    <w:p w:rsidR="00000000" w:rsidRPr="00AB2592" w:rsidP="00AB2592">
      <w:pPr>
        <w:pStyle w:val="Heading1"/>
      </w:pPr>
      <w:bookmarkStart w:id="11" w:name="O_1260923"/>
      <w:bookmarkEnd w:id="11"/>
      <w:r w:rsidRPr="00AB2592">
        <w:t>Assessment Conditions</w:t>
      </w:r>
    </w:p>
    <w:p w:rsidR="00000000" w:rsidRPr="00AB2592" w:rsidP="0002312C">
      <w:pPr>
        <w:pStyle w:val="BodyText"/>
      </w:pPr>
      <w:r w:rsidRPr="00AB2592">
        <w:t xml:space="preserve">Skills must have been demonstrated in the workplace or in a simulated environment that reflects workplace conditions and contingencies.  The following conditions must be met for this unit: </w:t>
      </w:r>
    </w:p>
    <w:p w:rsidR="00000000" w:rsidRPr="00AB2592" w:rsidP="00AB2592">
      <w:pPr>
        <w:pStyle w:val="ListBullet2"/>
      </w:pPr>
      <w:r w:rsidRPr="00AB2592">
        <w:t>use of suitable facilities, equipment and resources</w:t>
      </w:r>
    </w:p>
    <w:p w:rsidR="00000000" w:rsidRPr="00AB2592" w:rsidP="00AB2592">
      <w:pPr>
        <w:pStyle w:val="ListBullet2"/>
      </w:pPr>
      <w:r w:rsidRPr="00AB2592">
        <w:t>modelling of industry operating conditions.</w:t>
      </w:r>
    </w:p>
    <w:p w:rsidR="00000000" w:rsidRPr="00AB2592" w:rsidP="0002312C">
      <w:pPr>
        <w:pStyle w:val="BodyText"/>
      </w:pPr>
      <w:r w:rsidRPr="00AB2592">
        <w:t>Assessors must satisfy the NVR/AQTF mandatory competency requirements for assessors.</w:t>
      </w:r>
    </w:p>
    <w:p w:rsidR="00000000" w:rsidRPr="00AB2592" w:rsidP="00AB2592">
      <w:pPr>
        <w:pStyle w:val="Heading1"/>
      </w:pPr>
      <w:bookmarkStart w:id="12" w:name="O_1260926"/>
      <w:bookmarkEnd w:id="12"/>
      <w:r w:rsidRPr="00AB2592">
        <w:t>Links</w:t>
      </w:r>
    </w:p>
    <w:p w:rsidR="00000000" w:rsidRPr="00AB2592" w:rsidP="0002312C">
      <w:pPr>
        <w:pStyle w:val="BodyText"/>
      </w:pPr>
      <w:r w:rsidRPr="00AB259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066C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B2592" w:rsidP="00AB2592"/>
    <w:sectPr w:rsidSect="00AB25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 w:rsidRPr="0002312C" w:rsidP="00023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2C" w:rsidP="00AB2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312C" w:rsidP="00AB2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2312C" w:rsidP="00AB25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 w:rsidP="00AB2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312C">
      <w:t>Approved</w:t>
    </w:r>
    <w:r w:rsidR="000231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31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312C">
      <w:rPr>
        <w:noProof/>
      </w:rPr>
      <w:t>5</w:t>
    </w:r>
    <w:r>
      <w:rPr>
        <w:noProof/>
      </w:rPr>
      <w:fldChar w:fldCharType="end"/>
    </w:r>
  </w:p>
  <w:p w:rsidR="00AB2592" w:rsidP="00AB2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31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312C">
      <w:t>Manufacturing Industry Skills Alliance</w:t>
    </w:r>
    <w:r w:rsidR="0002312C">
      <w:fldChar w:fldCharType="end"/>
    </w:r>
  </w:p>
  <w:p w:rsidR="00AB2592" w:rsidP="00AB2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592" w:rsidRPr="0002312C" w:rsidP="00023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12C" w:rsidRPr="002D2AF8" w:rsidP="00AB2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MSS015054 Lead circular economy initiatives in the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312C" w:rsidP="00AB25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92" w:rsidRPr="002D2AF8" w:rsidP="00AB2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312C">
      <w:t>MSS015054 Lead circular economy initiatives in the supply chain</w:t>
    </w:r>
    <w:r w:rsidR="000231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312C">
      <w:rPr>
        <w:noProof/>
      </w:rPr>
      <w:t>2 March 2025</w:t>
    </w:r>
    <w:r>
      <w:fldChar w:fldCharType="end"/>
    </w:r>
  </w:p>
  <w:p w:rsidR="00AB2592" w:rsidP="00AB2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1AF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8E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48D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592"/>
  </w:style>
  <w:style w:type="character" w:customStyle="1" w:styleId="Heading1Char">
    <w:name w:val="Heading 1 Char"/>
    <w:basedOn w:val="DefaultParagraphFont"/>
    <w:link w:val="Heading1"/>
    <w:rsid w:val="00AB2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25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592"/>
    <w:rPr>
      <w:b/>
      <w:spacing w:val="0"/>
    </w:rPr>
  </w:style>
  <w:style w:type="paragraph" w:styleId="ListBullet2">
    <w:name w:val="List Bullet 2"/>
    <w:basedOn w:val="List2"/>
    <w:rsid w:val="00AB25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2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2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2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592"/>
    <w:rPr>
      <w:i/>
    </w:rPr>
  </w:style>
  <w:style w:type="paragraph" w:styleId="Caption">
    <w:name w:val="caption"/>
    <w:basedOn w:val="BodyText"/>
    <w:next w:val="Normal"/>
    <w:qFormat/>
    <w:rsid w:val="00AB2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592"/>
  </w:style>
  <w:style w:type="paragraph" w:styleId="TableofFigures">
    <w:name w:val="table of figures"/>
    <w:basedOn w:val="Normal"/>
    <w:next w:val="Normal"/>
    <w:semiHidden/>
    <w:rsid w:val="00AB2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2592"/>
    <w:rPr>
      <w:rFonts w:ascii="Wingdings" w:hAnsi="Wingdings"/>
    </w:rPr>
  </w:style>
  <w:style w:type="paragraph" w:customStyle="1" w:styleId="TableHeading">
    <w:name w:val="Table Heading"/>
    <w:basedOn w:val="HeadingBase"/>
    <w:rsid w:val="00AB2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592"/>
    <w:rPr>
      <w:color w:val="0033CC"/>
      <w:u w:val="none"/>
    </w:rPr>
  </w:style>
  <w:style w:type="paragraph" w:customStyle="1" w:styleId="BodyTextRight">
    <w:name w:val="Body Text Right"/>
    <w:basedOn w:val="BodyText"/>
    <w:rsid w:val="00AB2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592"/>
    <w:rPr>
      <w:sz w:val="32"/>
    </w:rPr>
  </w:style>
  <w:style w:type="paragraph" w:customStyle="1" w:styleId="HeadingProcedure">
    <w:name w:val="Heading Procedure"/>
    <w:basedOn w:val="HeadingBase"/>
    <w:next w:val="Normal"/>
    <w:rsid w:val="00AB2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592"/>
    <w:pPr>
      <w:spacing w:before="60" w:after="60"/>
    </w:pPr>
  </w:style>
  <w:style w:type="paragraph" w:styleId="ListContinue">
    <w:name w:val="List Continue"/>
    <w:basedOn w:val="List"/>
    <w:rsid w:val="00AB2592"/>
    <w:pPr>
      <w:ind w:firstLine="0"/>
    </w:pPr>
  </w:style>
  <w:style w:type="paragraph" w:customStyle="1" w:styleId="ListNote">
    <w:name w:val="List Note"/>
    <w:basedOn w:val="List"/>
    <w:rsid w:val="00AB2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592"/>
    <w:rPr>
      <w:rFonts w:ascii="Courier New" w:hAnsi="Courier New"/>
    </w:rPr>
  </w:style>
  <w:style w:type="paragraph" w:customStyle="1" w:styleId="NoteBullet">
    <w:name w:val="Note Bullet"/>
    <w:basedOn w:val="Note"/>
    <w:rsid w:val="00AB2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2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592"/>
    <w:rPr>
      <w:b/>
      <w:smallCaps/>
    </w:rPr>
  </w:style>
  <w:style w:type="paragraph" w:customStyle="1" w:styleId="TableListNumber">
    <w:name w:val="Table List Number"/>
    <w:basedOn w:val="ListNumber"/>
    <w:rsid w:val="00AB2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592"/>
    <w:pPr>
      <w:numPr>
        <w:numId w:val="9"/>
      </w:numPr>
    </w:pPr>
  </w:style>
  <w:style w:type="paragraph" w:customStyle="1" w:styleId="ListAlpha2">
    <w:name w:val="List Alpha 2"/>
    <w:basedOn w:val="List2"/>
    <w:rsid w:val="00AB2592"/>
    <w:pPr>
      <w:numPr>
        <w:numId w:val="8"/>
      </w:numPr>
    </w:pPr>
  </w:style>
  <w:style w:type="paragraph" w:styleId="List2">
    <w:name w:val="List 2"/>
    <w:basedOn w:val="BodyText"/>
    <w:rsid w:val="00AB2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2592"/>
    <w:pPr>
      <w:numPr>
        <w:numId w:val="4"/>
      </w:numPr>
    </w:pPr>
  </w:style>
  <w:style w:type="paragraph" w:styleId="ListContinue2">
    <w:name w:val="List Continue 2"/>
    <w:basedOn w:val="List2"/>
    <w:rsid w:val="00AB2592"/>
    <w:pPr>
      <w:ind w:firstLine="0"/>
    </w:pPr>
  </w:style>
  <w:style w:type="paragraph" w:styleId="ListContinue3">
    <w:name w:val="List Continue 3"/>
    <w:basedOn w:val="List3"/>
    <w:rsid w:val="00AB2592"/>
    <w:pPr>
      <w:ind w:left="1021" w:firstLine="0"/>
    </w:pPr>
  </w:style>
  <w:style w:type="paragraph" w:styleId="ListContinue4">
    <w:name w:val="List Continue 4"/>
    <w:basedOn w:val="List4"/>
    <w:rsid w:val="00AB2592"/>
    <w:pPr>
      <w:ind w:firstLine="0"/>
    </w:pPr>
  </w:style>
  <w:style w:type="paragraph" w:styleId="ListContinue5">
    <w:name w:val="List Continue 5"/>
    <w:basedOn w:val="List5"/>
    <w:rsid w:val="00AB2592"/>
    <w:pPr>
      <w:ind w:firstLine="0"/>
    </w:pPr>
  </w:style>
  <w:style w:type="paragraph" w:styleId="ListNumber3">
    <w:name w:val="List Number 3"/>
    <w:basedOn w:val="List3"/>
    <w:rsid w:val="00AB2592"/>
    <w:pPr>
      <w:numPr>
        <w:numId w:val="5"/>
      </w:numPr>
    </w:pPr>
  </w:style>
  <w:style w:type="paragraph" w:styleId="ListNumber4">
    <w:name w:val="List Number 4"/>
    <w:basedOn w:val="List4"/>
    <w:rsid w:val="00AB2592"/>
    <w:pPr>
      <w:numPr>
        <w:numId w:val="6"/>
      </w:numPr>
    </w:pPr>
  </w:style>
  <w:style w:type="paragraph" w:styleId="ListNumber5">
    <w:name w:val="List Number 5"/>
    <w:basedOn w:val="List5"/>
    <w:rsid w:val="00AB2592"/>
    <w:pPr>
      <w:numPr>
        <w:numId w:val="7"/>
      </w:numPr>
    </w:pPr>
  </w:style>
  <w:style w:type="paragraph" w:styleId="BlockText">
    <w:name w:val="Block Text"/>
    <w:basedOn w:val="Normal"/>
    <w:rsid w:val="00AB2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592"/>
    <w:rPr>
      <w:sz w:val="16"/>
      <w:vertAlign w:val="superscript"/>
    </w:rPr>
  </w:style>
  <w:style w:type="character" w:customStyle="1" w:styleId="Symbols">
    <w:name w:val="Symbols"/>
    <w:basedOn w:val="DefaultParagraphFont"/>
    <w:rsid w:val="00AB2592"/>
    <w:rPr>
      <w:rFonts w:ascii="Symbol" w:hAnsi="Symbol"/>
    </w:rPr>
  </w:style>
  <w:style w:type="character" w:customStyle="1" w:styleId="MenuOptions">
    <w:name w:val="Menu Options"/>
    <w:basedOn w:val="DefaultParagraphFont"/>
    <w:rsid w:val="00AB2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592"/>
    <w:rPr>
      <w:b/>
    </w:rPr>
  </w:style>
  <w:style w:type="character" w:customStyle="1" w:styleId="Underlined">
    <w:name w:val="Underlined"/>
    <w:basedOn w:val="DefaultParagraphFont"/>
    <w:rsid w:val="00AB2592"/>
    <w:rPr>
      <w:u w:val="single"/>
    </w:rPr>
  </w:style>
  <w:style w:type="paragraph" w:customStyle="1" w:styleId="TableBodyTextRight">
    <w:name w:val="Table Body Text Right"/>
    <w:basedOn w:val="TableBodyText"/>
    <w:rsid w:val="00AB2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592"/>
    <w:rPr>
      <w:sz w:val="18"/>
    </w:rPr>
  </w:style>
  <w:style w:type="paragraph" w:customStyle="1" w:styleId="BodySmallRight">
    <w:name w:val="Body Small Right"/>
    <w:basedOn w:val="BodyTextRight"/>
    <w:rsid w:val="00AB2592"/>
    <w:rPr>
      <w:sz w:val="18"/>
      <w:szCs w:val="18"/>
    </w:rPr>
  </w:style>
  <w:style w:type="paragraph" w:customStyle="1" w:styleId="MarginEdition">
    <w:name w:val="Margin Edition"/>
    <w:basedOn w:val="MarginNote"/>
    <w:rsid w:val="00AB2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592"/>
    <w:rPr>
      <w:sz w:val="2"/>
      <w:szCs w:val="2"/>
    </w:rPr>
  </w:style>
  <w:style w:type="character" w:customStyle="1" w:styleId="Small">
    <w:name w:val="Small"/>
    <w:basedOn w:val="DefaultParagraphFont"/>
    <w:rsid w:val="00AB2592"/>
    <w:rPr>
      <w:sz w:val="16"/>
    </w:rPr>
  </w:style>
  <w:style w:type="paragraph" w:customStyle="1" w:styleId="WideTable">
    <w:name w:val="Wide Table"/>
    <w:basedOn w:val="Normal"/>
    <w:rsid w:val="00AB2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592"/>
  </w:style>
  <w:style w:type="paragraph" w:styleId="Quote">
    <w:name w:val="Quote"/>
    <w:basedOn w:val="Heading1"/>
    <w:link w:val="QuoteChar"/>
    <w:qFormat/>
    <w:rsid w:val="00AB2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592"/>
    <w:pPr>
      <w:pageBreakBefore/>
    </w:pPr>
  </w:style>
  <w:style w:type="paragraph" w:customStyle="1" w:styleId="Border">
    <w:name w:val="Border"/>
    <w:basedOn w:val="Normal"/>
    <w:qFormat/>
    <w:rsid w:val="00AB2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592"/>
    <w:rPr>
      <w:u w:val="single"/>
    </w:rPr>
  </w:style>
  <w:style w:type="character" w:customStyle="1" w:styleId="BoldandItalics">
    <w:name w:val="Bold and Italics"/>
    <w:qFormat/>
    <w:rsid w:val="00AB2592"/>
    <w:rPr>
      <w:b/>
      <w:i/>
      <w:u w:val="none"/>
    </w:rPr>
  </w:style>
  <w:style w:type="paragraph" w:styleId="BalloonText">
    <w:name w:val="Balloon Text"/>
    <w:basedOn w:val="Normal"/>
    <w:link w:val="BalloonTextChar"/>
    <w:rsid w:val="00AB2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592"/>
    <w:pPr>
      <w:spacing w:before="0" w:after="0"/>
    </w:pPr>
  </w:style>
  <w:style w:type="paragraph" w:customStyle="1" w:styleId="BodyTextBold">
    <w:name w:val="Body Text Bold"/>
    <w:basedOn w:val="BodyText"/>
    <w:qFormat/>
    <w:rsid w:val="00AB2592"/>
    <w:rPr>
      <w:b/>
    </w:rPr>
  </w:style>
  <w:style w:type="character" w:styleId="Hyperlink">
    <w:name w:val="Hyperlink"/>
    <w:basedOn w:val="DefaultParagraphFont"/>
    <w:uiPriority w:val="99"/>
    <w:unhideWhenUsed/>
    <w:rsid w:val="00023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7035</Characters>
  <Application>Microsoft Office Word</Application>
  <DocSecurity>0</DocSecurity>
  <Lines>190</Lines>
  <Paragraphs>119</Paragraphs>
  <ScaleCrop>false</ScaleCrop>
  <Company>Author-it Software Corporation Ltd.</Company>
  <LinksUpToDate>false</LinksUpToDate>
  <CharactersWithSpaces>8013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MSS015054 Lead circular economy initiatives in the supply chain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2025-03-01T16:26:00Z</dcterms:created>
  <dcterms:modified xsi:type="dcterms:W3CDTF">2025-03-01T16:26:00Z</dcterms:modified>
</cp:coreProperties>
</file>