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170E" w:rsidP="002717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MSS015049 Conduct a sustainable water use audit</w:t>
      </w:r>
      <w:r>
        <w:fldChar w:fldCharType="end"/>
      </w:r>
    </w:p>
    <w:p w:rsidR="0027170E" w:rsidP="0027170E">
      <w:pPr>
        <w:pStyle w:val="Version"/>
        <w:sectPr w:rsidSect="00EF05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05F6" w:rsidP="00EF05F6">
      <w:pPr>
        <w:pStyle w:val="SuperHeading"/>
      </w:pPr>
      <w:r w:rsidRPr="00EF05F6">
        <w:t>Assessment Requirements for MSS015049 Conduct a sustainable water use audit</w:t>
      </w:r>
    </w:p>
    <w:p w:rsidR="00000000" w:rsidRPr="00EF05F6" w:rsidP="00EF05F6">
      <w:pPr>
        <w:pStyle w:val="Heading1"/>
      </w:pPr>
      <w:bookmarkStart w:id="1" w:name="O_1260445"/>
      <w:bookmarkEnd w:id="1"/>
      <w:r w:rsidRPr="00EF05F6">
        <w:t>Modification History</w:t>
      </w:r>
    </w:p>
    <w:p w:rsidR="0027170E" w:rsidP="0027170E">
      <w:pPr>
        <w:pStyle w:val="BodyText"/>
      </w:pPr>
      <w:r w:rsidRPr="00EF05F6">
        <w:t xml:space="preserve">Release 1. Unit code changed. Application changed. Elements changed. </w:t>
      </w:r>
      <w:r w:rsidRPr="00EF05F6">
        <w:t xml:space="preserve">Performance Criteria changed. Foundation Skills populated. Assessment Requirements changed. Workplace outcome changed. Supersedes and is not equivalent to MSS015028 Conduct a sustainable water use audit. </w:t>
      </w:r>
    </w:p>
    <w:p w:rsidR="00000000" w:rsidRPr="00EF05F6" w:rsidP="00EF05F6">
      <w:pPr>
        <w:pStyle w:val="Heading1"/>
      </w:pPr>
      <w:bookmarkStart w:id="2" w:name="O_1260446"/>
      <w:bookmarkEnd w:id="2"/>
      <w:r w:rsidRPr="00EF05F6">
        <w:t>Performance Evidence</w:t>
      </w:r>
    </w:p>
    <w:p w:rsidR="00000000" w:rsidRPr="00EF05F6" w:rsidP="0027170E">
      <w:pPr>
        <w:pStyle w:val="BodyText"/>
      </w:pPr>
      <w:r w:rsidRPr="00EF05F6">
        <w:t>There must</w:t>
      </w:r>
      <w:r w:rsidRPr="00EF05F6">
        <w:t xml:space="preserve"> be evidence the candidate has completed the tasks outlined in the elements and performance criteria of this unit, and demonstrated the ability to:</w:t>
      </w:r>
    </w:p>
    <w:p w:rsidR="00000000" w:rsidRPr="00EF05F6" w:rsidP="00EF05F6">
      <w:pPr>
        <w:pStyle w:val="ListBullet"/>
      </w:pPr>
      <w:r w:rsidRPr="00EF05F6">
        <w:t>conduct a water use audit for at least one organisation, a significant part of an organisation or part of t</w:t>
      </w:r>
      <w:r w:rsidRPr="00EF05F6">
        <w:t>he value chain</w:t>
      </w:r>
    </w:p>
    <w:p w:rsidR="0027170E" w:rsidP="00EF05F6">
      <w:pPr>
        <w:pStyle w:val="ListBullet"/>
      </w:pPr>
      <w:r w:rsidRPr="00EF05F6">
        <w:t>develop at least 3 recommendations for improving water usage.</w:t>
      </w:r>
    </w:p>
    <w:p w:rsidR="0027170E" w:rsidP="00EF05F6">
      <w:pPr>
        <w:pStyle w:val="ListBullet"/>
      </w:pPr>
    </w:p>
    <w:p w:rsidR="00000000" w:rsidRPr="00EF05F6" w:rsidP="00EF05F6">
      <w:pPr>
        <w:pStyle w:val="Heading1"/>
      </w:pPr>
      <w:bookmarkStart w:id="3" w:name="O_1260447"/>
      <w:bookmarkEnd w:id="3"/>
      <w:r w:rsidRPr="00EF05F6">
        <w:t>Knowledge Evidence</w:t>
      </w:r>
    </w:p>
    <w:p w:rsidR="00000000" w:rsidRPr="00EF05F6" w:rsidP="0027170E">
      <w:pPr>
        <w:pStyle w:val="BodyText"/>
      </w:pPr>
      <w:r w:rsidRPr="00EF05F6">
        <w:t>There must be evidence the candidate has knowledge of:</w:t>
      </w:r>
    </w:p>
    <w:p w:rsidR="00000000" w:rsidRPr="00EF05F6" w:rsidP="00EF05F6">
      <w:pPr>
        <w:pStyle w:val="ListBullet"/>
      </w:pPr>
      <w:r w:rsidRPr="00EF05F6">
        <w:t>specific water usages within production or operational processes undertaken by the o</w:t>
      </w:r>
      <w:r w:rsidRPr="00EF05F6">
        <w:t>rganisation</w:t>
      </w:r>
    </w:p>
    <w:p w:rsidR="00000000" w:rsidRPr="00EF05F6" w:rsidP="00EF05F6">
      <w:pPr>
        <w:pStyle w:val="ListBullet"/>
      </w:pPr>
      <w:r w:rsidRPr="00EF05F6">
        <w:t xml:space="preserve">external sources of water </w:t>
      </w:r>
    </w:p>
    <w:p w:rsidR="00000000" w:rsidRPr="00EF05F6" w:rsidP="00EF05F6">
      <w:pPr>
        <w:pStyle w:val="ListBullet"/>
      </w:pPr>
      <w:r w:rsidRPr="00EF05F6">
        <w:t xml:space="preserve">internal water sources including natural water sources, water capture and water generated by process </w:t>
      </w:r>
    </w:p>
    <w:p w:rsidR="00000000" w:rsidRPr="00EF05F6" w:rsidP="00EF05F6">
      <w:pPr>
        <w:pStyle w:val="ListBullet"/>
      </w:pPr>
      <w:r w:rsidRPr="00EF05F6">
        <w:t xml:space="preserve">characteristics of categories of water quality and applications relevant to the industry including: </w:t>
      </w:r>
    </w:p>
    <w:p w:rsidR="00000000" w:rsidRPr="00EF05F6" w:rsidP="00EF05F6">
      <w:pPr>
        <w:pStyle w:val="ListBullet2"/>
      </w:pPr>
      <w:r w:rsidRPr="00EF05F6">
        <w:t>deionised/hig</w:t>
      </w:r>
      <w:r w:rsidRPr="00EF05F6">
        <w:t xml:space="preserve">hly treated </w:t>
      </w:r>
    </w:p>
    <w:p w:rsidR="00000000" w:rsidRPr="00EF05F6" w:rsidP="00EF05F6">
      <w:pPr>
        <w:pStyle w:val="ListBullet2"/>
      </w:pPr>
      <w:r w:rsidRPr="00EF05F6">
        <w:t>potable water</w:t>
      </w:r>
    </w:p>
    <w:p w:rsidR="00000000" w:rsidRPr="00EF05F6" w:rsidP="00EF05F6">
      <w:pPr>
        <w:pStyle w:val="ListBullet2"/>
      </w:pPr>
      <w:r w:rsidRPr="00EF05F6">
        <w:t>groundwater</w:t>
      </w:r>
    </w:p>
    <w:p w:rsidR="00000000" w:rsidRPr="00EF05F6" w:rsidP="00EF05F6">
      <w:pPr>
        <w:pStyle w:val="ListBullet2"/>
      </w:pPr>
      <w:r w:rsidRPr="00EF05F6">
        <w:t>waterway/reservoir</w:t>
      </w:r>
    </w:p>
    <w:p w:rsidR="00000000" w:rsidRPr="00EF05F6" w:rsidP="00EF05F6">
      <w:pPr>
        <w:pStyle w:val="ListBullet2"/>
      </w:pPr>
      <w:r w:rsidRPr="00EF05F6">
        <w:t>recycled water</w:t>
      </w:r>
    </w:p>
    <w:p w:rsidR="00000000" w:rsidRPr="00EF05F6" w:rsidP="00EF05F6">
      <w:pPr>
        <w:pStyle w:val="ListBullet2"/>
      </w:pPr>
      <w:r w:rsidRPr="00EF05F6">
        <w:t>grey water</w:t>
      </w:r>
    </w:p>
    <w:p w:rsidR="00000000" w:rsidRPr="00EF05F6" w:rsidP="00EF05F6">
      <w:pPr>
        <w:pStyle w:val="ListBullet2"/>
      </w:pPr>
      <w:r w:rsidRPr="00EF05F6">
        <w:t>black water</w:t>
      </w:r>
    </w:p>
    <w:p w:rsidR="00000000" w:rsidRPr="00EF05F6" w:rsidP="00EF05F6">
      <w:pPr>
        <w:pStyle w:val="ListBullet2"/>
      </w:pPr>
      <w:r w:rsidRPr="00EF05F6">
        <w:t>wastewater</w:t>
      </w:r>
    </w:p>
    <w:p w:rsidR="00000000" w:rsidRPr="00EF05F6" w:rsidP="00EF05F6">
      <w:pPr>
        <w:pStyle w:val="ListBullet"/>
      </w:pPr>
      <w:r w:rsidRPr="00EF05F6">
        <w:t>strategies and methodologies for determining water quality</w:t>
      </w:r>
    </w:p>
    <w:p w:rsidR="00000000" w:rsidRPr="00EF05F6" w:rsidP="00EF05F6">
      <w:pPr>
        <w:pStyle w:val="ListBullet"/>
      </w:pPr>
      <w:r w:rsidRPr="00EF05F6">
        <w:t xml:space="preserve">strategies and sources of advice for determining impact of changes to water usage or quality </w:t>
      </w:r>
    </w:p>
    <w:p w:rsidR="00000000" w:rsidRPr="00EF05F6" w:rsidP="00EF05F6">
      <w:pPr>
        <w:pStyle w:val="ListBullet"/>
      </w:pPr>
      <w:r w:rsidRPr="00EF05F6">
        <w:t>principles of circularity and/or closed loop </w:t>
      </w:r>
    </w:p>
    <w:p w:rsidR="00000000" w:rsidRPr="00EF05F6" w:rsidP="00EF05F6">
      <w:pPr>
        <w:pStyle w:val="ListBullet"/>
      </w:pPr>
      <w:r w:rsidRPr="00EF05F6">
        <w:t xml:space="preserve">circular approaches to reducing waste </w:t>
      </w:r>
    </w:p>
    <w:p w:rsidR="00000000" w:rsidRPr="00EF05F6" w:rsidP="00EF05F6">
      <w:pPr>
        <w:pStyle w:val="ListBullet"/>
      </w:pPr>
      <w:r w:rsidRPr="00EF05F6">
        <w:t>methods of cost-benefit analysis</w:t>
      </w:r>
    </w:p>
    <w:p w:rsidR="00000000" w:rsidRPr="00EF05F6" w:rsidP="00EF05F6">
      <w:pPr>
        <w:pStyle w:val="ListBullet"/>
      </w:pPr>
      <w:r w:rsidRPr="00EF05F6">
        <w:t>current and emerging approaches to quantifyi</w:t>
      </w:r>
      <w:r w:rsidRPr="00EF05F6">
        <w:t>ng and evaluating costs, benefits, impacts and risks in relation to sustainability, including direct, indirect and intangible factors</w:t>
      </w:r>
    </w:p>
    <w:p w:rsidR="00000000" w:rsidRPr="00EF05F6" w:rsidP="00EF05F6">
      <w:pPr>
        <w:pStyle w:val="ListBullet"/>
      </w:pPr>
      <w:r w:rsidRPr="00EF05F6">
        <w:t>sustainability-related regulatory and reporting requirements relevant to the industry</w:t>
      </w:r>
    </w:p>
    <w:p w:rsidR="0027170E" w:rsidP="00EF05F6">
      <w:pPr>
        <w:pStyle w:val="ListBullet"/>
      </w:pPr>
      <w:r w:rsidRPr="00EF05F6">
        <w:t>sustainability-related voluntary sta</w:t>
      </w:r>
      <w:r w:rsidRPr="00EF05F6">
        <w:t>ndards, codes, reporting frameworks, certification and co-regulatory arrangements relevant to the industry.</w:t>
      </w:r>
    </w:p>
    <w:p w:rsidR="0027170E" w:rsidP="00EF05F6">
      <w:pPr>
        <w:pStyle w:val="ListBullet"/>
      </w:pPr>
    </w:p>
    <w:p w:rsidR="00000000" w:rsidRPr="00EF05F6" w:rsidP="00EF05F6">
      <w:pPr>
        <w:pStyle w:val="Heading1"/>
      </w:pPr>
      <w:bookmarkStart w:id="4" w:name="O_1260448"/>
      <w:bookmarkEnd w:id="4"/>
      <w:r w:rsidRPr="00EF05F6">
        <w:t>Assessment Conditions</w:t>
      </w:r>
    </w:p>
    <w:p w:rsidR="00000000" w:rsidRPr="00EF05F6" w:rsidP="0027170E">
      <w:pPr>
        <w:pStyle w:val="BodyText"/>
      </w:pPr>
      <w:r w:rsidRPr="00EF05F6">
        <w:t>Skills must have been demonstrated in the workplace or in a si</w:t>
      </w:r>
      <w:r w:rsidRPr="00EF05F6">
        <w:t>mulated environment that reflects workplace conditions and contingencies. The following conditions must be met for this unit:</w:t>
      </w:r>
    </w:p>
    <w:p w:rsidR="00000000" w:rsidRPr="00EF05F6" w:rsidP="00EF05F6">
      <w:pPr>
        <w:pStyle w:val="ListBullet"/>
      </w:pPr>
      <w:r w:rsidRPr="00EF05F6">
        <w:t>use of suitable facilities, equipment and resources, including:</w:t>
      </w:r>
    </w:p>
    <w:p w:rsidR="00000000" w:rsidRPr="00EF05F6" w:rsidP="00EF05F6">
      <w:pPr>
        <w:pStyle w:val="ListBullet2"/>
      </w:pPr>
      <w:r w:rsidRPr="00EF05F6">
        <w:t>access to data on water supply and usage</w:t>
      </w:r>
    </w:p>
    <w:p w:rsidR="00000000" w:rsidRPr="00EF05F6" w:rsidP="00EF05F6">
      <w:pPr>
        <w:pStyle w:val="ListBullet"/>
      </w:pPr>
      <w:r w:rsidRPr="00EF05F6">
        <w:t xml:space="preserve">modelling of industry </w:t>
      </w:r>
      <w:r w:rsidRPr="00EF05F6">
        <w:t>operating conditions.</w:t>
      </w:r>
    </w:p>
    <w:p w:rsidR="0027170E" w:rsidP="0027170E">
      <w:pPr>
        <w:pStyle w:val="BodyText"/>
      </w:pPr>
      <w:r w:rsidRPr="00EF05F6">
        <w:t>Assessors must satisfy the NVR/AQTF mandatory competency requirements for assessors.</w:t>
      </w:r>
    </w:p>
    <w:p w:rsidR="00000000" w:rsidRPr="00EF05F6" w:rsidP="00EF05F6">
      <w:pPr>
        <w:pStyle w:val="Heading1"/>
      </w:pPr>
      <w:bookmarkStart w:id="5" w:name="O_1260451"/>
      <w:bookmarkEnd w:id="5"/>
      <w:r w:rsidRPr="00EF05F6">
        <w:t>Links</w:t>
      </w:r>
    </w:p>
    <w:p w:rsidR="00000000" w:rsidRPr="00EF05F6" w:rsidP="0027170E">
      <w:pPr>
        <w:pStyle w:val="BodyText"/>
      </w:pPr>
      <w:r w:rsidRPr="00EF05F6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3032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F05F6" w:rsidP="00EF05F6"/>
    <w:sectPr w:rsidSect="00EF05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F6" w:rsidRPr="0027170E" w:rsidP="002717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70E" w:rsidP="00EF05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170E" w:rsidP="00EF05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7170E" w:rsidP="00EF05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7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5F6" w:rsidRPr="0027170E" w:rsidP="002717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70E" w:rsidRPr="002D2AF8" w:rsidP="00EF05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MSS015049 Conduct a sustainable water use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7170E" w:rsidP="00EF05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720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706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DA79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5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5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5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5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5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5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5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5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5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5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5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5F6"/>
  </w:style>
  <w:style w:type="character" w:customStyle="1" w:styleId="Heading1Char">
    <w:name w:val="Heading 1 Char"/>
    <w:basedOn w:val="DefaultParagraphFont"/>
    <w:link w:val="Heading1"/>
    <w:rsid w:val="00EF05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5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5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05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05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05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5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5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5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5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5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5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5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5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5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5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5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5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5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5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5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5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05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05F6"/>
    <w:rPr>
      <w:b/>
      <w:spacing w:val="0"/>
    </w:rPr>
  </w:style>
  <w:style w:type="paragraph" w:customStyle="1" w:styleId="SuperTitle">
    <w:name w:val="SuperTitle"/>
    <w:basedOn w:val="Title"/>
    <w:rsid w:val="00EF05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5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5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05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5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5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5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5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5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5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5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5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05F6"/>
    <w:rPr>
      <w:i/>
    </w:rPr>
  </w:style>
  <w:style w:type="paragraph" w:styleId="Caption">
    <w:name w:val="caption"/>
    <w:basedOn w:val="BodyText"/>
    <w:next w:val="Normal"/>
    <w:qFormat/>
    <w:rsid w:val="00EF05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5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5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5F6"/>
  </w:style>
  <w:style w:type="paragraph" w:styleId="TableofFigures">
    <w:name w:val="table of figures"/>
    <w:basedOn w:val="Normal"/>
    <w:next w:val="Normal"/>
    <w:semiHidden/>
    <w:rsid w:val="00EF05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5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05F6"/>
    <w:rPr>
      <w:rFonts w:ascii="Wingdings" w:hAnsi="Wingdings"/>
    </w:rPr>
  </w:style>
  <w:style w:type="paragraph" w:customStyle="1" w:styleId="TableHeading">
    <w:name w:val="Table Heading"/>
    <w:basedOn w:val="HeadingBase"/>
    <w:rsid w:val="00EF05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5F6"/>
    <w:rPr>
      <w:color w:val="0033CC"/>
      <w:u w:val="none"/>
    </w:rPr>
  </w:style>
  <w:style w:type="paragraph" w:customStyle="1" w:styleId="BodyTextRight">
    <w:name w:val="Body Text Right"/>
    <w:basedOn w:val="BodyText"/>
    <w:rsid w:val="00EF05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5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5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5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5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5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5F6"/>
    <w:rPr>
      <w:sz w:val="32"/>
    </w:rPr>
  </w:style>
  <w:style w:type="paragraph" w:customStyle="1" w:styleId="HeadingProcedure">
    <w:name w:val="Heading Procedure"/>
    <w:basedOn w:val="HeadingBase"/>
    <w:next w:val="Normal"/>
    <w:rsid w:val="00EF05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5F6"/>
    <w:pPr>
      <w:spacing w:before="60" w:after="60"/>
    </w:pPr>
  </w:style>
  <w:style w:type="paragraph" w:styleId="ListContinue">
    <w:name w:val="List Continue"/>
    <w:basedOn w:val="List"/>
    <w:rsid w:val="00EF05F6"/>
    <w:pPr>
      <w:ind w:firstLine="0"/>
    </w:pPr>
  </w:style>
  <w:style w:type="paragraph" w:customStyle="1" w:styleId="ListNote">
    <w:name w:val="List Note"/>
    <w:basedOn w:val="List"/>
    <w:rsid w:val="00EF05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5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5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5F6"/>
    <w:rPr>
      <w:rFonts w:ascii="Courier New" w:hAnsi="Courier New"/>
    </w:rPr>
  </w:style>
  <w:style w:type="paragraph" w:customStyle="1" w:styleId="NoteBullet">
    <w:name w:val="Note Bullet"/>
    <w:basedOn w:val="Note"/>
    <w:rsid w:val="00EF05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5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5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5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5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05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5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5F6"/>
    <w:rPr>
      <w:b/>
      <w:smallCaps/>
    </w:rPr>
  </w:style>
  <w:style w:type="paragraph" w:customStyle="1" w:styleId="TableListNumber">
    <w:name w:val="Table List Number"/>
    <w:basedOn w:val="ListNumber"/>
    <w:rsid w:val="00EF05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5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5F6"/>
    <w:pPr>
      <w:numPr>
        <w:numId w:val="9"/>
      </w:numPr>
    </w:pPr>
  </w:style>
  <w:style w:type="paragraph" w:customStyle="1" w:styleId="ListAlpha2">
    <w:name w:val="List Alpha 2"/>
    <w:basedOn w:val="List2"/>
    <w:rsid w:val="00EF05F6"/>
    <w:pPr>
      <w:numPr>
        <w:numId w:val="8"/>
      </w:numPr>
    </w:pPr>
  </w:style>
  <w:style w:type="paragraph" w:styleId="List2">
    <w:name w:val="List 2"/>
    <w:basedOn w:val="BodyText"/>
    <w:rsid w:val="00EF05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5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5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5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5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5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05F6"/>
    <w:pPr>
      <w:numPr>
        <w:numId w:val="4"/>
      </w:numPr>
    </w:pPr>
  </w:style>
  <w:style w:type="paragraph" w:styleId="ListContinue2">
    <w:name w:val="List Continue 2"/>
    <w:basedOn w:val="List2"/>
    <w:rsid w:val="00EF05F6"/>
    <w:pPr>
      <w:ind w:firstLine="0"/>
    </w:pPr>
  </w:style>
  <w:style w:type="paragraph" w:styleId="ListContinue3">
    <w:name w:val="List Continue 3"/>
    <w:basedOn w:val="List3"/>
    <w:rsid w:val="00EF05F6"/>
    <w:pPr>
      <w:ind w:left="1021" w:firstLine="0"/>
    </w:pPr>
  </w:style>
  <w:style w:type="paragraph" w:styleId="ListContinue4">
    <w:name w:val="List Continue 4"/>
    <w:basedOn w:val="List4"/>
    <w:rsid w:val="00EF05F6"/>
    <w:pPr>
      <w:ind w:firstLine="0"/>
    </w:pPr>
  </w:style>
  <w:style w:type="paragraph" w:styleId="ListContinue5">
    <w:name w:val="List Continue 5"/>
    <w:basedOn w:val="List5"/>
    <w:rsid w:val="00EF05F6"/>
    <w:pPr>
      <w:ind w:firstLine="0"/>
    </w:pPr>
  </w:style>
  <w:style w:type="paragraph" w:styleId="ListNumber3">
    <w:name w:val="List Number 3"/>
    <w:basedOn w:val="List3"/>
    <w:rsid w:val="00EF05F6"/>
    <w:pPr>
      <w:numPr>
        <w:numId w:val="5"/>
      </w:numPr>
    </w:pPr>
  </w:style>
  <w:style w:type="paragraph" w:styleId="ListNumber4">
    <w:name w:val="List Number 4"/>
    <w:basedOn w:val="List4"/>
    <w:rsid w:val="00EF05F6"/>
    <w:pPr>
      <w:numPr>
        <w:numId w:val="6"/>
      </w:numPr>
    </w:pPr>
  </w:style>
  <w:style w:type="paragraph" w:styleId="ListNumber5">
    <w:name w:val="List Number 5"/>
    <w:basedOn w:val="List5"/>
    <w:rsid w:val="00EF05F6"/>
    <w:pPr>
      <w:numPr>
        <w:numId w:val="7"/>
      </w:numPr>
    </w:pPr>
  </w:style>
  <w:style w:type="paragraph" w:styleId="BlockText">
    <w:name w:val="Block Text"/>
    <w:basedOn w:val="Normal"/>
    <w:rsid w:val="00EF05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5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5F6"/>
    <w:rPr>
      <w:sz w:val="16"/>
      <w:vertAlign w:val="superscript"/>
    </w:rPr>
  </w:style>
  <w:style w:type="character" w:customStyle="1" w:styleId="Symbols">
    <w:name w:val="Symbols"/>
    <w:basedOn w:val="DefaultParagraphFont"/>
    <w:rsid w:val="00EF05F6"/>
    <w:rPr>
      <w:rFonts w:ascii="Symbol" w:hAnsi="Symbol"/>
    </w:rPr>
  </w:style>
  <w:style w:type="character" w:customStyle="1" w:styleId="MenuOptions">
    <w:name w:val="Menu Options"/>
    <w:basedOn w:val="DefaultParagraphFont"/>
    <w:rsid w:val="00EF05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5F6"/>
    <w:rPr>
      <w:b/>
    </w:rPr>
  </w:style>
  <w:style w:type="character" w:customStyle="1" w:styleId="Underlined">
    <w:name w:val="Underlined"/>
    <w:basedOn w:val="DefaultParagraphFont"/>
    <w:rsid w:val="00EF05F6"/>
    <w:rPr>
      <w:u w:val="single"/>
    </w:rPr>
  </w:style>
  <w:style w:type="paragraph" w:customStyle="1" w:styleId="TableBodyTextRight">
    <w:name w:val="Table Body Text Right"/>
    <w:basedOn w:val="TableBodyText"/>
    <w:rsid w:val="00EF05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5F6"/>
    <w:rPr>
      <w:sz w:val="18"/>
    </w:rPr>
  </w:style>
  <w:style w:type="paragraph" w:customStyle="1" w:styleId="BodySmallRight">
    <w:name w:val="Body Small Right"/>
    <w:basedOn w:val="BodyTextRight"/>
    <w:rsid w:val="00EF05F6"/>
    <w:rPr>
      <w:sz w:val="18"/>
      <w:szCs w:val="18"/>
    </w:rPr>
  </w:style>
  <w:style w:type="paragraph" w:customStyle="1" w:styleId="MarginEdition">
    <w:name w:val="Margin Edition"/>
    <w:basedOn w:val="MarginNote"/>
    <w:rsid w:val="00EF05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5F6"/>
    <w:rPr>
      <w:sz w:val="2"/>
      <w:szCs w:val="2"/>
    </w:rPr>
  </w:style>
  <w:style w:type="character" w:customStyle="1" w:styleId="Small">
    <w:name w:val="Small"/>
    <w:basedOn w:val="DefaultParagraphFont"/>
    <w:rsid w:val="00EF05F6"/>
    <w:rPr>
      <w:sz w:val="16"/>
    </w:rPr>
  </w:style>
  <w:style w:type="paragraph" w:customStyle="1" w:styleId="WideTable">
    <w:name w:val="Wide Table"/>
    <w:basedOn w:val="Normal"/>
    <w:rsid w:val="00EF05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5F6"/>
  </w:style>
  <w:style w:type="paragraph" w:styleId="Quote">
    <w:name w:val="Quote"/>
    <w:basedOn w:val="Heading1"/>
    <w:link w:val="QuoteChar"/>
    <w:qFormat/>
    <w:rsid w:val="00EF05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5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5F6"/>
    <w:pPr>
      <w:pageBreakBefore/>
    </w:pPr>
  </w:style>
  <w:style w:type="paragraph" w:customStyle="1" w:styleId="Border">
    <w:name w:val="Border"/>
    <w:basedOn w:val="Normal"/>
    <w:qFormat/>
    <w:rsid w:val="00EF05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5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5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5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5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5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5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5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5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5F6"/>
    <w:rPr>
      <w:u w:val="single"/>
    </w:rPr>
  </w:style>
  <w:style w:type="character" w:customStyle="1" w:styleId="BoldandItalics">
    <w:name w:val="Bold and Italics"/>
    <w:qFormat/>
    <w:rsid w:val="00EF05F6"/>
    <w:rPr>
      <w:b/>
      <w:i/>
      <w:u w:val="none"/>
    </w:rPr>
  </w:style>
  <w:style w:type="paragraph" w:styleId="BalloonText">
    <w:name w:val="Balloon Text"/>
    <w:basedOn w:val="Normal"/>
    <w:link w:val="BalloonTextChar"/>
    <w:rsid w:val="00EF05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5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5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5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5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5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5F6"/>
    <w:pPr>
      <w:spacing w:before="0" w:after="0"/>
    </w:pPr>
  </w:style>
  <w:style w:type="paragraph" w:customStyle="1" w:styleId="BodyTextBold">
    <w:name w:val="Body Text Bold"/>
    <w:basedOn w:val="BodyText"/>
    <w:qFormat/>
    <w:rsid w:val="00EF05F6"/>
    <w:rPr>
      <w:b/>
    </w:rPr>
  </w:style>
  <w:style w:type="character" w:styleId="Hyperlink">
    <w:name w:val="Hyperlink"/>
    <w:basedOn w:val="DefaultParagraphFont"/>
    <w:uiPriority w:val="99"/>
    <w:unhideWhenUsed/>
    <w:rsid w:val="002717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2438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MSS015049 Conduct a sustainable water use audit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2022-12-16T03:47:00Z</dcterms:created>
  <dcterms:modified xsi:type="dcterms:W3CDTF">2022-12-16T03:47:00Z</dcterms:modified>
</cp:coreProperties>
</file>