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9F1" w:rsidP="00EF7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MSS015039 Develop response to corporate social responsibility</w:t>
      </w:r>
      <w:r>
        <w:fldChar w:fldCharType="end"/>
      </w:r>
    </w:p>
    <w:p w:rsidR="00EF79F1" w:rsidP="00EF79F1">
      <w:pPr>
        <w:pStyle w:val="Version"/>
        <w:sectPr w:rsidSect="00637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15A" w:rsidP="0063715A">
      <w:pPr>
        <w:pStyle w:val="SuperHeading"/>
      </w:pPr>
      <w:r w:rsidRPr="0063715A">
        <w:t>MSS015039 Develop response to corporate social responsibility</w:t>
      </w:r>
    </w:p>
    <w:p w:rsidR="00000000" w:rsidRPr="0063715A" w:rsidP="0063715A">
      <w:pPr>
        <w:pStyle w:val="Heading1"/>
      </w:pPr>
      <w:bookmarkStart w:id="1" w:name="O_1033357"/>
      <w:bookmarkEnd w:id="1"/>
      <w:r w:rsidRPr="0063715A">
        <w:t>Modification History</w:t>
      </w:r>
    </w:p>
    <w:p w:rsidR="00000000" w:rsidRPr="0063715A" w:rsidP="00EF79F1">
      <w:pPr>
        <w:pStyle w:val="BodyText"/>
      </w:pPr>
      <w:r w:rsidRPr="0063715A">
        <w:t>Release 1. New unit.</w:t>
      </w:r>
    </w:p>
    <w:p w:rsidR="00000000" w:rsidRPr="0063715A" w:rsidP="0063715A">
      <w:pPr>
        <w:pStyle w:val="Heading1"/>
      </w:pPr>
      <w:bookmarkStart w:id="2" w:name="O_1033358"/>
      <w:bookmarkEnd w:id="2"/>
      <w:r w:rsidRPr="0063715A">
        <w:t>Application</w:t>
      </w:r>
    </w:p>
    <w:p w:rsidR="00000000" w:rsidRPr="0063715A" w:rsidP="00EF79F1">
      <w:pPr>
        <w:pStyle w:val="BodyText"/>
      </w:pPr>
      <w:r w:rsidRPr="0063715A">
        <w:t xml:space="preserve">This unit of competency covers identifying corporate social responsibility (CSR) requirements, developing and implementing an appropriate response to CSR, and the </w:t>
      </w:r>
      <w:r w:rsidRPr="0063715A">
        <w:t>ongoing monitoring and adjusting of responses.</w:t>
      </w:r>
    </w:p>
    <w:p w:rsidR="00000000" w:rsidRPr="0063715A" w:rsidP="00EF79F1">
      <w:pPr>
        <w:pStyle w:val="BodyText"/>
      </w:pPr>
      <w:r w:rsidRPr="0063715A">
        <w:t>This unit applies in organisations impacted by or committed to local and international social responsibility standards and guidelines.</w:t>
      </w:r>
    </w:p>
    <w:p w:rsidR="00000000" w:rsidRPr="0063715A" w:rsidP="00EF79F1">
      <w:pPr>
        <w:pStyle w:val="BodyText"/>
      </w:pPr>
      <w:r w:rsidRPr="0063715A">
        <w:t>This unit applies to a supervisor, manager or technical specialist who has</w:t>
      </w:r>
      <w:r w:rsidRPr="0063715A">
        <w:t xml:space="preserve"> a major responsibility for meeting the organisation’s objectives in relation to corporate social responsibilities. Sustainability may be part of a broader work role, or sustainability may be their primary work responsibility. The manager or technical spec</w:t>
      </w:r>
      <w:r w:rsidRPr="0063715A">
        <w:t>ialist may undertake this alone or as part of a team.</w:t>
      </w:r>
    </w:p>
    <w:p w:rsidR="00000000" w:rsidRPr="0063715A" w:rsidP="00EF79F1">
      <w:pPr>
        <w:pStyle w:val="BodyText"/>
      </w:pPr>
      <w:r w:rsidRPr="0063715A">
        <w:t>No licensing or certification requirements exist at the time of publication. Relevant legislation, industry standards and codes of practice within Australia must be applied.</w:t>
      </w:r>
    </w:p>
    <w:p w:rsidR="00000000" w:rsidRPr="0063715A" w:rsidP="0063715A">
      <w:pPr>
        <w:pStyle w:val="Heading1"/>
      </w:pPr>
      <w:bookmarkStart w:id="3" w:name="O_1033359"/>
      <w:bookmarkEnd w:id="3"/>
      <w:r w:rsidRPr="0063715A">
        <w:t>Pre-requi</w:t>
      </w:r>
      <w:r w:rsidRPr="0063715A">
        <w:t>site Unit</w:t>
      </w:r>
    </w:p>
    <w:p w:rsidR="00000000" w:rsidRPr="0063715A" w:rsidP="00EF79F1">
      <w:pPr>
        <w:pStyle w:val="BodyText"/>
      </w:pPr>
      <w:r w:rsidRPr="0063715A">
        <w:t>Nil.</w:t>
      </w:r>
    </w:p>
    <w:p w:rsidR="00000000" w:rsidRPr="0063715A" w:rsidP="0063715A">
      <w:pPr>
        <w:pStyle w:val="Heading1"/>
      </w:pPr>
      <w:bookmarkStart w:id="4" w:name="O_1033360"/>
      <w:bookmarkEnd w:id="4"/>
      <w:r w:rsidRPr="0063715A">
        <w:t>Competency Field</w:t>
      </w:r>
    </w:p>
    <w:p w:rsidR="00000000" w:rsidRPr="0063715A" w:rsidP="00EF79F1">
      <w:pPr>
        <w:pStyle w:val="BodyText"/>
      </w:pPr>
      <w:r w:rsidRPr="0063715A">
        <w:t>Sustainable operations</w:t>
      </w:r>
    </w:p>
    <w:p w:rsidR="00000000" w:rsidRPr="0063715A" w:rsidP="0063715A">
      <w:pPr>
        <w:pStyle w:val="Heading1"/>
      </w:pPr>
      <w:bookmarkStart w:id="5" w:name="O_1033361"/>
      <w:bookmarkEnd w:id="5"/>
      <w:r w:rsidRPr="0063715A">
        <w:t>Unit Sector</w:t>
      </w:r>
    </w:p>
    <w:p w:rsidR="00000000" w:rsidRPr="0063715A" w:rsidP="0063715A">
      <w:pPr>
        <w:pStyle w:val="Heading1"/>
      </w:pPr>
      <w:bookmarkStart w:id="6" w:name="O_1033362"/>
      <w:bookmarkEnd w:id="6"/>
      <w:r w:rsidRPr="006371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2"/>
        <w:gridCol w:w="685"/>
        <w:gridCol w:w="5809"/>
      </w:tblGrid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15A" w:rsidP="0063715A">
            <w:pPr>
              <w:pStyle w:val="BodyText"/>
            </w:pPr>
            <w:r w:rsidRPr="0063715A">
              <w:rPr>
                <w:rStyle w:val="SpecialBold"/>
              </w:rPr>
              <w:t>Elements</w:t>
            </w:r>
          </w:p>
          <w:p w:rsidR="00000000" w:rsidRPr="0063715A" w:rsidP="0063715A">
            <w:pPr>
              <w:pStyle w:val="BodyText"/>
            </w:pPr>
            <w:r w:rsidRPr="0063715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15A" w:rsidP="0063715A">
            <w:pPr>
              <w:pStyle w:val="BodyText"/>
            </w:pPr>
            <w:r w:rsidRPr="0063715A">
              <w:rPr>
                <w:rStyle w:val="SpecialBold"/>
              </w:rPr>
              <w:t>Performance Criteria</w:t>
            </w:r>
          </w:p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Performance criteria descri</w:t>
            </w:r>
            <w:r w:rsidRPr="0063715A">
              <w:t>be the performance needed to demonstrate achievement of the element.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1. Assess current CSR 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Identify organisation’s CSR values, goals and objectives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Identify, read and interpret CSR guidelines and standards and determine legislative requirements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Identify stakeholders and methods of engagement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Liaise with stakeholders to determine current CSR performance, perceptions and expectations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Identify CSR opportunities and risks in consultation with stakeholders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2. Develop CSR responses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Develop responses to address opportunities and risks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Calculate cost-benefit for responses including quantifying non-financial costs and benefits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Rank responses by desirability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3. Negotiate responses with stakeholders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Short-list ranked responses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Discuss short-listed responses with stakeholders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Agree responses to be implemented and timelines for implementation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Develop an implementation plan for agreed responses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 Implement agreed responses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Execute implementation plan for agreed responses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Negotiate required resources with stakeholders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Negotiate timelines and measures of success with stakeholders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Acquire and deploy resources required to achieve agreed responses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Monitor implementation and adjust to achieve required responses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Communicate with stakeholders to keep them informed and promote commitment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5. Evaluate and improve CSR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Measure improvements obtained to evaluate performance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Identify non-compliances with planned improvements</w:t>
            </w:r>
          </w:p>
        </w:tc>
      </w:tr>
      <w:tr w:rsidTr="00EF7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5A">
            <w:pPr>
              <w:pStyle w:val="BodyText"/>
              <w:rPr>
                <w:lang w:val="en-NZ"/>
              </w:rPr>
            </w:pPr>
            <w:r w:rsidRPr="0063715A"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15A" w:rsidP="0063715A">
            <w:pPr>
              <w:pStyle w:val="BodyText"/>
            </w:pPr>
            <w:r w:rsidRPr="0063715A">
              <w:t>Identify opportunities for improvement in consultation with stakeholders</w:t>
            </w:r>
          </w:p>
        </w:tc>
      </w:tr>
    </w:tbl>
    <w:p w:rsidR="00000000" w:rsidRPr="0063715A" w:rsidP="0063715A">
      <w:pPr>
        <w:pStyle w:val="BodyText"/>
      </w:pPr>
    </w:p>
    <w:p w:rsidR="00000000" w:rsidRPr="0063715A" w:rsidP="0063715A">
      <w:pPr>
        <w:pStyle w:val="AllowPageBreak"/>
      </w:pPr>
    </w:p>
    <w:p w:rsidR="00000000" w:rsidRPr="0063715A" w:rsidP="0063715A">
      <w:pPr>
        <w:pStyle w:val="Heading1"/>
      </w:pPr>
      <w:bookmarkStart w:id="7" w:name="O_1033363"/>
      <w:bookmarkEnd w:id="7"/>
      <w:r w:rsidRPr="0063715A">
        <w:t>Foundation Skills</w:t>
      </w:r>
    </w:p>
    <w:p w:rsidR="00000000" w:rsidRPr="0063715A" w:rsidP="00EF79F1">
      <w:pPr>
        <w:pStyle w:val="BodyText"/>
      </w:pPr>
      <w:r w:rsidRPr="0063715A">
        <w:t>Foundation skills essential to performance are explicit in the performance criteria of this unit of competency.</w:t>
      </w:r>
    </w:p>
    <w:p w:rsidR="00000000" w:rsidRPr="0063715A" w:rsidP="0063715A">
      <w:pPr>
        <w:pStyle w:val="Heading1"/>
      </w:pPr>
      <w:bookmarkStart w:id="8" w:name="O_1033364"/>
      <w:bookmarkEnd w:id="8"/>
      <w:r w:rsidRPr="0063715A">
        <w:t>Range of Conditions</w:t>
      </w:r>
    </w:p>
    <w:p w:rsidR="00000000" w:rsidRPr="0063715A" w:rsidP="0063715A">
      <w:pPr>
        <w:pStyle w:val="Heading1"/>
      </w:pPr>
      <w:bookmarkStart w:id="9" w:name="O_1033365"/>
      <w:bookmarkEnd w:id="9"/>
      <w:r w:rsidRPr="0063715A">
        <w:t>Unit Mapping Information</w:t>
      </w:r>
    </w:p>
    <w:p w:rsidR="00000000" w:rsidRPr="0063715A" w:rsidP="00EF79F1">
      <w:pPr>
        <w:pStyle w:val="BodyText"/>
      </w:pPr>
      <w:r w:rsidRPr="0063715A">
        <w:t>No equivalent unit.</w:t>
      </w:r>
    </w:p>
    <w:p w:rsidR="00000000" w:rsidRPr="0063715A" w:rsidP="0063715A">
      <w:pPr>
        <w:pStyle w:val="Heading1"/>
      </w:pPr>
      <w:bookmarkStart w:id="10" w:name="O_1033372"/>
      <w:bookmarkEnd w:id="10"/>
      <w:r w:rsidRPr="0063715A">
        <w:t>Links</w:t>
      </w:r>
    </w:p>
    <w:p w:rsidR="00000000" w:rsidRPr="0063715A" w:rsidP="00EF79F1">
      <w:pPr>
        <w:pStyle w:val="BodyText"/>
      </w:pPr>
      <w:r w:rsidRPr="0063715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330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3715A" w:rsidP="00EF79F1">
      <w:pPr>
        <w:pStyle w:val="BodyText"/>
        <w:sectPr w:rsidSect="006371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715A" w:rsidP="0063715A">
      <w:pPr>
        <w:pStyle w:val="SuperHeading"/>
      </w:pPr>
      <w:r w:rsidRPr="0063715A">
        <w:t>Assessment Requirements</w:t>
      </w:r>
      <w:r w:rsidRPr="0063715A">
        <w:t xml:space="preserve"> for MSS015039 Develop response to corporate social responsibility</w:t>
      </w:r>
    </w:p>
    <w:p w:rsidR="00000000" w:rsidRPr="0063715A" w:rsidP="0063715A">
      <w:pPr>
        <w:pStyle w:val="Heading1"/>
      </w:pPr>
      <w:bookmarkStart w:id="11" w:name="O_1033367"/>
      <w:bookmarkEnd w:id="11"/>
      <w:r w:rsidRPr="0063715A">
        <w:t>Modification History</w:t>
      </w:r>
    </w:p>
    <w:p w:rsidR="00000000" w:rsidRPr="0063715A" w:rsidP="00EF79F1">
      <w:pPr>
        <w:pStyle w:val="BodyText"/>
      </w:pPr>
      <w:r w:rsidRPr="0063715A">
        <w:t>Release 1. New unit.</w:t>
      </w:r>
    </w:p>
    <w:p w:rsidR="00000000" w:rsidRPr="0063715A" w:rsidP="0063715A">
      <w:pPr>
        <w:pStyle w:val="Heading1"/>
      </w:pPr>
      <w:bookmarkStart w:id="12" w:name="O_1033368"/>
      <w:bookmarkEnd w:id="12"/>
      <w:r w:rsidRPr="0063715A">
        <w:t>Performance Evidence</w:t>
      </w:r>
    </w:p>
    <w:p w:rsidR="00000000" w:rsidRPr="0063715A" w:rsidP="00EF79F1">
      <w:pPr>
        <w:pStyle w:val="BodyText"/>
      </w:pPr>
      <w:r w:rsidRPr="0063715A">
        <w:t>There must be evidence the candidate has completed the tasks outlined in the elements and</w:t>
      </w:r>
      <w:r w:rsidRPr="0063715A">
        <w:t xml:space="preserve"> performance criteria of this unit, and:</w:t>
      </w:r>
    </w:p>
    <w:p w:rsidR="00000000" w:rsidRPr="0063715A" w:rsidP="0063715A">
      <w:pPr>
        <w:pStyle w:val="ListBullet"/>
      </w:pPr>
      <w:r w:rsidRPr="0063715A">
        <w:t>identified corporate social responsibility (CSR) requirements for at least 1 organisation or department, assessed current performance and planned, negotiated, implemented and reviewed responses in consultation with</w:t>
      </w:r>
      <w:r w:rsidRPr="0063715A">
        <w:t xml:space="preserve"> stakeholders.</w:t>
      </w:r>
    </w:p>
    <w:p w:rsidR="00000000" w:rsidRPr="0063715A" w:rsidP="0063715A">
      <w:pPr>
        <w:pStyle w:val="AllowPageBreak"/>
      </w:pPr>
    </w:p>
    <w:p w:rsidR="00000000" w:rsidRPr="0063715A" w:rsidP="0063715A">
      <w:pPr>
        <w:pStyle w:val="Heading1"/>
      </w:pPr>
      <w:bookmarkStart w:id="13" w:name="O_1033369"/>
      <w:bookmarkEnd w:id="13"/>
      <w:r w:rsidRPr="0063715A">
        <w:t>Knowledge Evidence</w:t>
      </w:r>
    </w:p>
    <w:p w:rsidR="00000000" w:rsidRPr="0063715A" w:rsidP="00EF79F1">
      <w:pPr>
        <w:pStyle w:val="BodyText"/>
      </w:pPr>
      <w:r w:rsidRPr="0063715A">
        <w:t>There must be evidence the candidate has knowledge of:</w:t>
      </w:r>
    </w:p>
    <w:p w:rsidR="00000000" w:rsidRPr="0063715A" w:rsidP="0063715A">
      <w:pPr>
        <w:pStyle w:val="ListBullet"/>
      </w:pPr>
      <w:r w:rsidRPr="0063715A">
        <w:t>CSR concepts, terms, trends, characteristics, benefits</w:t>
      </w:r>
    </w:p>
    <w:p w:rsidR="00000000" w:rsidRPr="0063715A" w:rsidP="0063715A">
      <w:pPr>
        <w:pStyle w:val="ListBullet"/>
      </w:pPr>
      <w:r w:rsidRPr="0063715A">
        <w:t>organisation’s CSR values, strategies and procedures</w:t>
      </w:r>
    </w:p>
    <w:p w:rsidR="00000000" w:rsidRPr="0063715A" w:rsidP="0063715A">
      <w:pPr>
        <w:pStyle w:val="ListBullet"/>
      </w:pPr>
      <w:r w:rsidRPr="0063715A">
        <w:t>legislation, regulations, standard</w:t>
      </w:r>
      <w:r w:rsidRPr="0063715A">
        <w:t>s and guidelines relevant to organisation</w:t>
      </w:r>
      <w:r>
        <w:t>’</w:t>
      </w:r>
      <w:r w:rsidRPr="0063715A">
        <w:t>s corporate social responsibilities</w:t>
      </w:r>
    </w:p>
    <w:p w:rsidR="00000000" w:rsidRPr="0063715A" w:rsidP="0063715A">
      <w:pPr>
        <w:pStyle w:val="ListBullet"/>
      </w:pPr>
      <w:r w:rsidRPr="0063715A">
        <w:t>impact of CSR on:</w:t>
      </w:r>
    </w:p>
    <w:p w:rsidR="00000000" w:rsidRPr="0063715A" w:rsidP="0063715A">
      <w:pPr>
        <w:pStyle w:val="ListBullet2"/>
      </w:pPr>
      <w:r w:rsidRPr="0063715A">
        <w:t>competitive advantage</w:t>
      </w:r>
    </w:p>
    <w:p w:rsidR="00000000" w:rsidRPr="0063715A" w:rsidP="0063715A">
      <w:pPr>
        <w:pStyle w:val="ListBullet2"/>
      </w:pPr>
      <w:r w:rsidRPr="0063715A">
        <w:t>reputation</w:t>
      </w:r>
    </w:p>
    <w:p w:rsidR="00000000" w:rsidRPr="0063715A" w:rsidP="0063715A">
      <w:pPr>
        <w:pStyle w:val="ListBullet2"/>
      </w:pPr>
      <w:r w:rsidRPr="0063715A">
        <w:t>attraction and retention</w:t>
      </w:r>
    </w:p>
    <w:p w:rsidR="00000000" w:rsidRPr="0063715A" w:rsidP="0063715A">
      <w:pPr>
        <w:pStyle w:val="ListBullet2"/>
      </w:pPr>
      <w:r w:rsidRPr="0063715A">
        <w:t>productivity</w:t>
      </w:r>
    </w:p>
    <w:p w:rsidR="00000000" w:rsidRPr="0063715A" w:rsidP="0063715A">
      <w:pPr>
        <w:pStyle w:val="ListBullet2"/>
      </w:pPr>
      <w:r w:rsidRPr="0063715A">
        <w:t>relationships</w:t>
      </w:r>
    </w:p>
    <w:p w:rsidR="00000000" w:rsidRPr="0063715A" w:rsidP="0063715A">
      <w:pPr>
        <w:pStyle w:val="ListBullet"/>
      </w:pPr>
      <w:r w:rsidRPr="0063715A">
        <w:t>UN Sustainable Development Goals (or their replacements)</w:t>
      </w:r>
    </w:p>
    <w:p w:rsidR="00000000" w:rsidRPr="0063715A" w:rsidP="0063715A">
      <w:pPr>
        <w:pStyle w:val="ListBullet"/>
      </w:pPr>
      <w:r w:rsidRPr="0063715A">
        <w:t>stakeholder management strategies</w:t>
      </w:r>
    </w:p>
    <w:p w:rsidR="00000000" w:rsidRPr="0063715A" w:rsidP="0063715A">
      <w:pPr>
        <w:pStyle w:val="ListBullet"/>
      </w:pPr>
      <w:r w:rsidRPr="0063715A">
        <w:t>framework for socially responsible decision making and principles and practices of:</w:t>
      </w:r>
    </w:p>
    <w:p w:rsidR="00000000" w:rsidRPr="0063715A" w:rsidP="0063715A">
      <w:pPr>
        <w:pStyle w:val="ListBullet2"/>
      </w:pPr>
      <w:r w:rsidRPr="0063715A">
        <w:t>accountability</w:t>
      </w:r>
    </w:p>
    <w:p w:rsidR="00000000" w:rsidRPr="0063715A" w:rsidP="0063715A">
      <w:pPr>
        <w:pStyle w:val="ListBullet2"/>
      </w:pPr>
      <w:r w:rsidRPr="0063715A">
        <w:t>transparency</w:t>
      </w:r>
    </w:p>
    <w:p w:rsidR="00000000" w:rsidRPr="0063715A" w:rsidP="0063715A">
      <w:pPr>
        <w:pStyle w:val="ListBullet2"/>
      </w:pPr>
      <w:r w:rsidRPr="0063715A">
        <w:t>ethical behaviour</w:t>
      </w:r>
    </w:p>
    <w:p w:rsidR="00000000" w:rsidRPr="0063715A" w:rsidP="0063715A">
      <w:pPr>
        <w:pStyle w:val="ListBullet2"/>
      </w:pPr>
      <w:r w:rsidRPr="0063715A">
        <w:t>respect for stakeholder interests</w:t>
      </w:r>
    </w:p>
    <w:p w:rsidR="00000000" w:rsidRPr="0063715A" w:rsidP="0063715A">
      <w:pPr>
        <w:pStyle w:val="ListBullet2"/>
      </w:pPr>
      <w:r w:rsidRPr="0063715A">
        <w:t>respect for rule of law</w:t>
      </w:r>
    </w:p>
    <w:p w:rsidR="00000000" w:rsidRPr="0063715A" w:rsidP="0063715A">
      <w:pPr>
        <w:pStyle w:val="ListBullet2"/>
      </w:pPr>
      <w:r w:rsidRPr="0063715A">
        <w:t>respect for international norms o</w:t>
      </w:r>
      <w:r w:rsidRPr="0063715A">
        <w:t>f behaviour</w:t>
      </w:r>
    </w:p>
    <w:p w:rsidR="00000000" w:rsidRPr="0063715A" w:rsidP="0063715A">
      <w:pPr>
        <w:pStyle w:val="ListBullet2"/>
      </w:pPr>
      <w:r w:rsidRPr="0063715A">
        <w:t>respect for human rights</w:t>
      </w:r>
    </w:p>
    <w:p w:rsidR="00000000" w:rsidRPr="0063715A" w:rsidP="0063715A">
      <w:pPr>
        <w:pStyle w:val="ListBullet"/>
      </w:pPr>
      <w:r w:rsidRPr="0063715A">
        <w:t>relationship between CSR and sustainable development</w:t>
      </w:r>
    </w:p>
    <w:p w:rsidR="00000000" w:rsidRPr="0063715A" w:rsidP="0063715A">
      <w:pPr>
        <w:pStyle w:val="ListBullet"/>
      </w:pPr>
      <w:r w:rsidRPr="0063715A">
        <w:t>social impact of organisation and local and global considerations and responsibilities</w:t>
      </w:r>
    </w:p>
    <w:p w:rsidR="00000000" w:rsidRPr="0063715A" w:rsidP="0063715A">
      <w:pPr>
        <w:pStyle w:val="ListBullet"/>
      </w:pPr>
      <w:r w:rsidRPr="0063715A">
        <w:t>cost-benefit analyses techniques.</w:t>
      </w:r>
    </w:p>
    <w:p w:rsidR="00000000" w:rsidRPr="0063715A" w:rsidP="0063715A">
      <w:pPr>
        <w:pStyle w:val="AllowPageBreak"/>
      </w:pPr>
    </w:p>
    <w:p w:rsidR="00000000" w:rsidRPr="0063715A" w:rsidP="0063715A">
      <w:pPr>
        <w:pStyle w:val="Heading1"/>
      </w:pPr>
      <w:bookmarkStart w:id="14" w:name="O_1033370"/>
      <w:bookmarkEnd w:id="14"/>
      <w:r w:rsidRPr="0063715A">
        <w:t>Assessment Conditions</w:t>
      </w:r>
    </w:p>
    <w:p w:rsidR="00000000" w:rsidRPr="0063715A" w:rsidP="00EF79F1">
      <w:pPr>
        <w:pStyle w:val="BodyText"/>
      </w:pPr>
      <w:r w:rsidRPr="0063715A">
        <w:t>Skills must have been demonstrated in the workplace or in a simulated environment that reflects workplace conditions, contingencies, facilities, equipment and resources.</w:t>
      </w:r>
    </w:p>
    <w:p w:rsidR="00000000" w:rsidRPr="0063715A" w:rsidP="00EF79F1">
      <w:pPr>
        <w:pStyle w:val="BodyText"/>
      </w:pPr>
      <w:r w:rsidRPr="0063715A">
        <w:t>Assessors must satisfy the NVR/AQTF mandatory competency requirements for assessors.</w:t>
      </w:r>
    </w:p>
    <w:p w:rsidR="00000000" w:rsidRPr="0063715A" w:rsidP="0063715A">
      <w:pPr>
        <w:pStyle w:val="Heading1"/>
      </w:pPr>
      <w:bookmarkStart w:id="15" w:name="O_1033373"/>
      <w:bookmarkEnd w:id="15"/>
      <w:r w:rsidRPr="0063715A">
        <w:t>Links</w:t>
      </w:r>
    </w:p>
    <w:p w:rsidR="00000000" w:rsidRPr="0063715A" w:rsidP="00EF79F1">
      <w:pPr>
        <w:pStyle w:val="BodyText"/>
      </w:pPr>
      <w:r w:rsidRPr="0063715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330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3715A" w:rsidP="0063715A"/>
    <w:sectPr w:rsidSect="006371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 w:rsidRPr="00EF79F1" w:rsidP="00EF7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F1" w:rsidP="00637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9F1" w:rsidP="00637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79F1" w:rsidP="006371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 w:rsidP="00637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9F1">
      <w:t>Approved</w:t>
    </w:r>
    <w:r w:rsidR="00EF79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9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9F1">
      <w:rPr>
        <w:noProof/>
      </w:rPr>
      <w:t>4</w:t>
    </w:r>
    <w:r>
      <w:rPr>
        <w:noProof/>
      </w:rPr>
      <w:fldChar w:fldCharType="end"/>
    </w:r>
  </w:p>
  <w:p w:rsidR="0063715A" w:rsidP="00637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9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9F1">
      <w:t>Manufacturing Industry Skills Alliance</w:t>
    </w:r>
    <w:r w:rsidR="00EF79F1">
      <w:fldChar w:fldCharType="end"/>
    </w:r>
  </w:p>
  <w:p w:rsidR="0063715A" w:rsidP="00637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15A" w:rsidRPr="00EF79F1" w:rsidP="00EF7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F1" w:rsidRPr="002D2AF8" w:rsidP="00637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MSS015039 Develop response to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79F1" w:rsidP="006371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5A" w:rsidRPr="002D2AF8" w:rsidP="00637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9F1">
      <w:t>MSS015039 Develop response to corporate social responsibility</w:t>
    </w:r>
    <w:r w:rsidR="00EF79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9F1">
      <w:rPr>
        <w:noProof/>
      </w:rPr>
      <w:t>2 March 2025</w:t>
    </w:r>
    <w:r>
      <w:fldChar w:fldCharType="end"/>
    </w:r>
  </w:p>
  <w:p w:rsidR="0063715A" w:rsidP="00637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A4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A2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8E6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15A"/>
  </w:style>
  <w:style w:type="character" w:customStyle="1" w:styleId="Heading1Char">
    <w:name w:val="Heading 1 Char"/>
    <w:basedOn w:val="DefaultParagraphFont"/>
    <w:link w:val="Heading1"/>
    <w:rsid w:val="00637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1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15A"/>
    <w:rPr>
      <w:b/>
      <w:spacing w:val="0"/>
    </w:rPr>
  </w:style>
  <w:style w:type="paragraph" w:styleId="ListBullet2">
    <w:name w:val="List Bullet 2"/>
    <w:basedOn w:val="List2"/>
    <w:rsid w:val="006371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15A"/>
    <w:rPr>
      <w:i/>
    </w:rPr>
  </w:style>
  <w:style w:type="paragraph" w:styleId="Caption">
    <w:name w:val="caption"/>
    <w:basedOn w:val="BodyText"/>
    <w:next w:val="Normal"/>
    <w:qFormat/>
    <w:rsid w:val="00637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15A"/>
  </w:style>
  <w:style w:type="paragraph" w:styleId="TableofFigures">
    <w:name w:val="table of figures"/>
    <w:basedOn w:val="Normal"/>
    <w:next w:val="Normal"/>
    <w:semiHidden/>
    <w:rsid w:val="00637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1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15A"/>
    <w:rPr>
      <w:rFonts w:ascii="Wingdings" w:hAnsi="Wingdings"/>
    </w:rPr>
  </w:style>
  <w:style w:type="paragraph" w:customStyle="1" w:styleId="TableHeading">
    <w:name w:val="Table Heading"/>
    <w:basedOn w:val="HeadingBase"/>
    <w:rsid w:val="00637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15A"/>
    <w:rPr>
      <w:color w:val="0033CC"/>
      <w:u w:val="none"/>
    </w:rPr>
  </w:style>
  <w:style w:type="paragraph" w:customStyle="1" w:styleId="BodyTextRight">
    <w:name w:val="Body Text Right"/>
    <w:basedOn w:val="BodyText"/>
    <w:rsid w:val="00637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1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15A"/>
    <w:rPr>
      <w:sz w:val="32"/>
    </w:rPr>
  </w:style>
  <w:style w:type="paragraph" w:customStyle="1" w:styleId="HeadingProcedure">
    <w:name w:val="Heading Procedure"/>
    <w:basedOn w:val="HeadingBase"/>
    <w:next w:val="Normal"/>
    <w:rsid w:val="00637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15A"/>
    <w:pPr>
      <w:spacing w:before="60" w:after="60"/>
    </w:pPr>
  </w:style>
  <w:style w:type="paragraph" w:styleId="ListContinue">
    <w:name w:val="List Continue"/>
    <w:basedOn w:val="List"/>
    <w:rsid w:val="0063715A"/>
    <w:pPr>
      <w:ind w:firstLine="0"/>
    </w:pPr>
  </w:style>
  <w:style w:type="paragraph" w:customStyle="1" w:styleId="ListNote">
    <w:name w:val="List Note"/>
    <w:basedOn w:val="List"/>
    <w:rsid w:val="00637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15A"/>
    <w:rPr>
      <w:rFonts w:ascii="Courier New" w:hAnsi="Courier New"/>
    </w:rPr>
  </w:style>
  <w:style w:type="paragraph" w:customStyle="1" w:styleId="NoteBullet">
    <w:name w:val="Note Bullet"/>
    <w:basedOn w:val="Note"/>
    <w:rsid w:val="00637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1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15A"/>
    <w:rPr>
      <w:b/>
      <w:smallCaps/>
    </w:rPr>
  </w:style>
  <w:style w:type="paragraph" w:customStyle="1" w:styleId="TableListNumber">
    <w:name w:val="Table List Number"/>
    <w:basedOn w:val="ListNumber"/>
    <w:rsid w:val="00637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15A"/>
    <w:pPr>
      <w:numPr>
        <w:numId w:val="9"/>
      </w:numPr>
    </w:pPr>
  </w:style>
  <w:style w:type="paragraph" w:customStyle="1" w:styleId="ListAlpha2">
    <w:name w:val="List Alpha 2"/>
    <w:basedOn w:val="List2"/>
    <w:rsid w:val="0063715A"/>
    <w:pPr>
      <w:numPr>
        <w:numId w:val="8"/>
      </w:numPr>
    </w:pPr>
  </w:style>
  <w:style w:type="paragraph" w:styleId="List2">
    <w:name w:val="List 2"/>
    <w:basedOn w:val="BodyText"/>
    <w:rsid w:val="00637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1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1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15A"/>
    <w:pPr>
      <w:numPr>
        <w:numId w:val="4"/>
      </w:numPr>
    </w:pPr>
  </w:style>
  <w:style w:type="paragraph" w:styleId="ListContinue2">
    <w:name w:val="List Continue 2"/>
    <w:basedOn w:val="List2"/>
    <w:rsid w:val="0063715A"/>
    <w:pPr>
      <w:ind w:firstLine="0"/>
    </w:pPr>
  </w:style>
  <w:style w:type="paragraph" w:styleId="ListContinue3">
    <w:name w:val="List Continue 3"/>
    <w:basedOn w:val="List3"/>
    <w:rsid w:val="0063715A"/>
    <w:pPr>
      <w:ind w:left="1021" w:firstLine="0"/>
    </w:pPr>
  </w:style>
  <w:style w:type="paragraph" w:styleId="ListContinue4">
    <w:name w:val="List Continue 4"/>
    <w:basedOn w:val="List4"/>
    <w:rsid w:val="0063715A"/>
    <w:pPr>
      <w:ind w:firstLine="0"/>
    </w:pPr>
  </w:style>
  <w:style w:type="paragraph" w:styleId="ListContinue5">
    <w:name w:val="List Continue 5"/>
    <w:basedOn w:val="List5"/>
    <w:rsid w:val="0063715A"/>
    <w:pPr>
      <w:ind w:firstLine="0"/>
    </w:pPr>
  </w:style>
  <w:style w:type="paragraph" w:styleId="ListNumber3">
    <w:name w:val="List Number 3"/>
    <w:basedOn w:val="List3"/>
    <w:rsid w:val="0063715A"/>
    <w:pPr>
      <w:numPr>
        <w:numId w:val="5"/>
      </w:numPr>
    </w:pPr>
  </w:style>
  <w:style w:type="paragraph" w:styleId="ListNumber4">
    <w:name w:val="List Number 4"/>
    <w:basedOn w:val="List4"/>
    <w:rsid w:val="0063715A"/>
    <w:pPr>
      <w:numPr>
        <w:numId w:val="6"/>
      </w:numPr>
    </w:pPr>
  </w:style>
  <w:style w:type="paragraph" w:styleId="ListNumber5">
    <w:name w:val="List Number 5"/>
    <w:basedOn w:val="List5"/>
    <w:rsid w:val="0063715A"/>
    <w:pPr>
      <w:numPr>
        <w:numId w:val="7"/>
      </w:numPr>
    </w:pPr>
  </w:style>
  <w:style w:type="paragraph" w:styleId="BlockText">
    <w:name w:val="Block Text"/>
    <w:basedOn w:val="Normal"/>
    <w:rsid w:val="00637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15A"/>
    <w:rPr>
      <w:sz w:val="16"/>
      <w:vertAlign w:val="superscript"/>
    </w:rPr>
  </w:style>
  <w:style w:type="character" w:customStyle="1" w:styleId="Symbols">
    <w:name w:val="Symbols"/>
    <w:basedOn w:val="DefaultParagraphFont"/>
    <w:rsid w:val="0063715A"/>
    <w:rPr>
      <w:rFonts w:ascii="Symbol" w:hAnsi="Symbol"/>
    </w:rPr>
  </w:style>
  <w:style w:type="character" w:customStyle="1" w:styleId="MenuOptions">
    <w:name w:val="Menu Options"/>
    <w:basedOn w:val="DefaultParagraphFont"/>
    <w:rsid w:val="00637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15A"/>
    <w:rPr>
      <w:b/>
    </w:rPr>
  </w:style>
  <w:style w:type="character" w:customStyle="1" w:styleId="Underlined">
    <w:name w:val="Underlined"/>
    <w:basedOn w:val="DefaultParagraphFont"/>
    <w:rsid w:val="0063715A"/>
    <w:rPr>
      <w:u w:val="single"/>
    </w:rPr>
  </w:style>
  <w:style w:type="paragraph" w:customStyle="1" w:styleId="TableBodyTextRight">
    <w:name w:val="Table Body Text Right"/>
    <w:basedOn w:val="TableBodyText"/>
    <w:rsid w:val="00637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15A"/>
    <w:rPr>
      <w:sz w:val="18"/>
    </w:rPr>
  </w:style>
  <w:style w:type="paragraph" w:customStyle="1" w:styleId="BodySmallRight">
    <w:name w:val="Body Small Right"/>
    <w:basedOn w:val="BodyTextRight"/>
    <w:rsid w:val="0063715A"/>
    <w:rPr>
      <w:sz w:val="18"/>
      <w:szCs w:val="18"/>
    </w:rPr>
  </w:style>
  <w:style w:type="paragraph" w:customStyle="1" w:styleId="MarginEdition">
    <w:name w:val="Margin Edition"/>
    <w:basedOn w:val="MarginNote"/>
    <w:rsid w:val="00637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15A"/>
    <w:rPr>
      <w:sz w:val="2"/>
      <w:szCs w:val="2"/>
    </w:rPr>
  </w:style>
  <w:style w:type="character" w:customStyle="1" w:styleId="Small">
    <w:name w:val="Small"/>
    <w:basedOn w:val="DefaultParagraphFont"/>
    <w:rsid w:val="0063715A"/>
    <w:rPr>
      <w:sz w:val="16"/>
    </w:rPr>
  </w:style>
  <w:style w:type="paragraph" w:customStyle="1" w:styleId="WideTable">
    <w:name w:val="Wide Table"/>
    <w:basedOn w:val="Normal"/>
    <w:rsid w:val="00637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15A"/>
  </w:style>
  <w:style w:type="paragraph" w:styleId="Quote">
    <w:name w:val="Quote"/>
    <w:basedOn w:val="Heading1"/>
    <w:link w:val="QuoteChar"/>
    <w:qFormat/>
    <w:rsid w:val="00637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15A"/>
    <w:pPr>
      <w:pageBreakBefore/>
    </w:pPr>
  </w:style>
  <w:style w:type="paragraph" w:customStyle="1" w:styleId="Border">
    <w:name w:val="Border"/>
    <w:basedOn w:val="Normal"/>
    <w:qFormat/>
    <w:rsid w:val="00637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15A"/>
    <w:rPr>
      <w:u w:val="single"/>
    </w:rPr>
  </w:style>
  <w:style w:type="character" w:customStyle="1" w:styleId="BoldandItalics">
    <w:name w:val="Bold and Italics"/>
    <w:qFormat/>
    <w:rsid w:val="0063715A"/>
    <w:rPr>
      <w:b/>
      <w:i/>
      <w:u w:val="none"/>
    </w:rPr>
  </w:style>
  <w:style w:type="paragraph" w:styleId="BalloonText">
    <w:name w:val="Balloon Text"/>
    <w:basedOn w:val="Normal"/>
    <w:link w:val="BalloonTextChar"/>
    <w:rsid w:val="00637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15A"/>
    <w:pPr>
      <w:spacing w:before="0" w:after="0"/>
    </w:pPr>
  </w:style>
  <w:style w:type="paragraph" w:customStyle="1" w:styleId="BodyTextBold">
    <w:name w:val="Body Text Bold"/>
    <w:basedOn w:val="BodyText"/>
    <w:qFormat/>
    <w:rsid w:val="0063715A"/>
    <w:rPr>
      <w:b/>
    </w:rPr>
  </w:style>
  <w:style w:type="character" w:styleId="Hyperlink">
    <w:name w:val="Hyperlink"/>
    <w:basedOn w:val="DefaultParagraphFont"/>
    <w:uiPriority w:val="99"/>
    <w:unhideWhenUsed/>
    <w:rsid w:val="00EF7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4799</Characters>
  <Application>Microsoft Office Word</Application>
  <DocSecurity>0</DocSecurity>
  <Lines>191</Lines>
  <Paragraphs>130</Paragraphs>
  <ScaleCrop>false</ScaleCrop>
  <Company>Author-it Software Corporation Ltd.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MSS015039 Develop response to corporate social responsibility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