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2D0" w:rsidP="00A64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MSS015020 Facilitate an energy audit</w:t>
      </w:r>
      <w:r>
        <w:fldChar w:fldCharType="end"/>
      </w:r>
    </w:p>
    <w:p w:rsidR="00A642D0" w:rsidP="00A642D0">
      <w:pPr>
        <w:pStyle w:val="Version"/>
        <w:sectPr w:rsidSect="00CB10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0A8" w:rsidP="00CB10A8">
      <w:pPr>
        <w:pStyle w:val="SuperHeading"/>
      </w:pPr>
      <w:r w:rsidRPr="00CB10A8">
        <w:t>MSS015020 Facilitate an energy audit</w:t>
      </w:r>
    </w:p>
    <w:p w:rsidR="00000000" w:rsidRPr="00CB10A8" w:rsidP="00CB10A8">
      <w:pPr>
        <w:pStyle w:val="Heading1"/>
      </w:pPr>
      <w:bookmarkStart w:id="1" w:name="O_989654"/>
      <w:bookmarkEnd w:id="1"/>
      <w:r w:rsidRPr="00CB10A8">
        <w:t>Modification History</w:t>
      </w:r>
    </w:p>
    <w:p w:rsidR="00000000" w:rsidRPr="00CB10A8" w:rsidP="00A642D0">
      <w:pPr>
        <w:pStyle w:val="BodyText"/>
      </w:pPr>
      <w:r w:rsidRPr="00CB10A8">
        <w:t>Release 1. New unit.</w:t>
      </w:r>
    </w:p>
    <w:p w:rsidR="00000000" w:rsidRPr="00CB10A8" w:rsidP="00CB10A8">
      <w:pPr>
        <w:pStyle w:val="Heading1"/>
      </w:pPr>
      <w:bookmarkStart w:id="2" w:name="O_989655"/>
      <w:bookmarkEnd w:id="2"/>
      <w:r w:rsidRPr="00CB10A8">
        <w:t>Application</w:t>
      </w:r>
    </w:p>
    <w:p w:rsidR="00000000" w:rsidRPr="00CB10A8" w:rsidP="00A642D0">
      <w:pPr>
        <w:pStyle w:val="BodyText"/>
      </w:pPr>
      <w:r w:rsidRPr="00CB10A8">
        <w:t>This unit describes the skills and knowledge required to project manage an energy audit within a business environment, to provide a quantitative overview of energy performance and deter</w:t>
      </w:r>
      <w:r w:rsidRPr="00CB10A8">
        <w:t>mining opportunities for improvement.</w:t>
      </w:r>
    </w:p>
    <w:p w:rsidR="00000000" w:rsidRPr="00CB10A8" w:rsidP="00A642D0">
      <w:pPr>
        <w:pStyle w:val="BodyText"/>
      </w:pPr>
      <w:r w:rsidRPr="00CB10A8">
        <w:t>This unit applies to employees who apply knowledge of the industry being audited to procure a team with specialised theoretical and technical expertise. Employees will need well-developed skills to work autonomously wi</w:t>
      </w:r>
      <w:r w:rsidRPr="00CB10A8">
        <w:t xml:space="preserve">th discretion and judgement. Sustainability may be the employee’s primary work responsibility or part of a broader role.  </w:t>
      </w:r>
    </w:p>
    <w:p w:rsidR="00000000" w:rsidRPr="00CB10A8" w:rsidP="00A642D0">
      <w:pPr>
        <w:pStyle w:val="BodyText"/>
      </w:pPr>
      <w:r w:rsidRPr="00CB10A8">
        <w:t>No licensing or certification requirements exist at the time of publication. Relevant legislation, industry standards and codes of pr</w:t>
      </w:r>
      <w:r w:rsidRPr="00CB10A8">
        <w:t>actice within Australia must be applied.</w:t>
      </w:r>
    </w:p>
    <w:p w:rsidR="00000000" w:rsidRPr="00CB10A8" w:rsidP="00CB10A8">
      <w:pPr>
        <w:pStyle w:val="Heading1"/>
      </w:pPr>
      <w:bookmarkStart w:id="3" w:name="O_989656"/>
      <w:bookmarkEnd w:id="3"/>
      <w:r w:rsidRPr="00CB10A8">
        <w:t>Pre-requisite Unit</w:t>
      </w:r>
    </w:p>
    <w:p w:rsidR="00000000" w:rsidRPr="00CB10A8" w:rsidP="00A642D0">
      <w:pPr>
        <w:pStyle w:val="BodyText"/>
      </w:pPr>
      <w:r w:rsidRPr="00CB10A8">
        <w:t>Nil</w:t>
      </w:r>
    </w:p>
    <w:p w:rsidR="00000000" w:rsidRPr="00CB10A8" w:rsidP="00CB10A8">
      <w:pPr>
        <w:pStyle w:val="Heading1"/>
      </w:pPr>
      <w:bookmarkStart w:id="4" w:name="O_989657"/>
      <w:bookmarkEnd w:id="4"/>
      <w:r w:rsidRPr="00CB10A8">
        <w:t>Competency Field</w:t>
      </w:r>
    </w:p>
    <w:p w:rsidR="00000000" w:rsidRPr="00CB10A8" w:rsidP="00A642D0">
      <w:pPr>
        <w:pStyle w:val="BodyText"/>
      </w:pPr>
      <w:r w:rsidRPr="00CB10A8">
        <w:t>Sustainable operations</w:t>
      </w:r>
    </w:p>
    <w:p w:rsidR="00000000" w:rsidRPr="00CB10A8" w:rsidP="00CB10A8">
      <w:pPr>
        <w:pStyle w:val="Heading1"/>
      </w:pPr>
      <w:bookmarkStart w:id="5" w:name="O_989658"/>
      <w:bookmarkEnd w:id="5"/>
      <w:r w:rsidRPr="00CB10A8">
        <w:t>Unit Sector</w:t>
      </w:r>
    </w:p>
    <w:p w:rsidR="00000000" w:rsidRPr="00CB10A8" w:rsidP="00A642D0">
      <w:pPr>
        <w:pStyle w:val="BodyText"/>
      </w:pPr>
      <w:r w:rsidRPr="00CB10A8">
        <w:t>Not applicable</w:t>
      </w:r>
    </w:p>
    <w:p w:rsidR="00000000" w:rsidRPr="00CB10A8" w:rsidP="00CB10A8">
      <w:pPr>
        <w:pStyle w:val="Heading1"/>
      </w:pPr>
      <w:bookmarkStart w:id="6" w:name="O_989659"/>
      <w:bookmarkEnd w:id="6"/>
      <w:r w:rsidRPr="00CB10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Elements describe the e</w:t>
            </w:r>
            <w:r w:rsidRPr="00CB10A8">
              <w:t>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Performance criteria describe the performance needed to demonstrate achievement of the element.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A8" w:rsidP="00CB10A8">
            <w:pPr>
              <w:pStyle w:val="BodyText"/>
            </w:pPr>
            <w:r w:rsidRPr="00CB10A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rPr>
                <w:rStyle w:val="SpecialBold"/>
              </w:rPr>
              <w:t>Prepare for energy audit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Determine the relevant standards and requirements for the facility type and audit type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Define the purpose, scope and boundaries of the energy audit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Estimate appropriate investment requirement based on annual energy costs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 xml:space="preserve">Seek management commitment, funding and resources 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Determine objectives, timeframes and schedules for audit process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Conduct start up meeting with stakeholders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A8" w:rsidP="00CB10A8">
            <w:pPr>
              <w:pStyle w:val="BodyText"/>
            </w:pPr>
            <w:r w:rsidRPr="00CB10A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rPr>
                <w:rStyle w:val="SpecialBold"/>
              </w:rPr>
              <w:t>Form the energy audit team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Identify knowledge or skills gaps in audit team and specialist requirements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Identify potential suppliers of procurement requirements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Establish selection process and selection criteria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Write project brief and forward to suppliers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Read and assess supplier proposals against selection criteria and make selection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Negotiate and finalise contract with supplier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Develop and agree on data collection plan and checklists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A8" w:rsidP="00CB10A8">
            <w:pPr>
              <w:pStyle w:val="BodyText"/>
            </w:pPr>
            <w:r w:rsidRPr="00CB10A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rPr>
                <w:rStyle w:val="SpecialBold"/>
              </w:rPr>
              <w:t xml:space="preserve">Facilitate site access and the collection and handover of data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Facilitate the collection and handover of data in accordance with data collection plan and checklists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 xml:space="preserve">Arrange site access, inductions and security and provide notification of workplace disruptions 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Arrange for meetings with key personnel as required by auditor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Facilitate the collection of energy use data for site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Facilitate the collection of data on operations, infrastructure, equipment and systems to be audited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Facilitate the collection of information on recent or proposed energy efficiency audits, studies, reports, projects or upgrades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A8" w:rsidP="00CB10A8">
            <w:pPr>
              <w:pStyle w:val="BodyText"/>
            </w:pPr>
            <w:r w:rsidRPr="00CB10A8">
              <w:t>4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rPr>
                <w:rStyle w:val="SpecialBold"/>
              </w:rPr>
              <w:t>Facilitate post audit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Collate project team findings and read and interpret audit report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Present re</w:t>
            </w:r>
            <w:r w:rsidRPr="00CB10A8">
              <w:t>sults and recommendations to stakeholders and answer audit related questions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Generate questions and discussions to progress implementation decisions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Finalise and document decisions made on implementation using participative techniques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 xml:space="preserve">Collaborate with stakeholders to identify items requiring follow up or further analysis </w:t>
            </w:r>
          </w:p>
        </w:tc>
      </w:tr>
      <w:tr w:rsidTr="00CB10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A8">
            <w:pPr>
              <w:pStyle w:val="BodyText"/>
              <w:rPr>
                <w:lang w:val="en-NZ"/>
              </w:rPr>
            </w:pPr>
            <w:r w:rsidRPr="00CB10A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A8" w:rsidP="00CB10A8">
            <w:pPr>
              <w:pStyle w:val="BodyText"/>
            </w:pPr>
            <w:r w:rsidRPr="00CB10A8">
              <w:t>Communicate audit outcomes to internal and external stakeholders</w:t>
            </w:r>
          </w:p>
        </w:tc>
      </w:tr>
    </w:tbl>
    <w:p w:rsidR="00000000" w:rsidRPr="00CB10A8" w:rsidP="00CB10A8">
      <w:pPr>
        <w:pStyle w:val="BodyText"/>
      </w:pPr>
    </w:p>
    <w:p w:rsidR="00000000" w:rsidRPr="00CB10A8" w:rsidP="00CB10A8">
      <w:pPr>
        <w:pStyle w:val="AllowPageBreak"/>
      </w:pPr>
    </w:p>
    <w:p w:rsidR="00000000" w:rsidRPr="00CB10A8" w:rsidP="00CB10A8">
      <w:pPr>
        <w:pStyle w:val="Heading1"/>
      </w:pPr>
      <w:bookmarkStart w:id="7" w:name="O_989660"/>
      <w:bookmarkEnd w:id="7"/>
      <w:r w:rsidRPr="00CB10A8">
        <w:t>Foundation Skills</w:t>
      </w:r>
    </w:p>
    <w:p w:rsidR="00000000" w:rsidRPr="00CB10A8" w:rsidP="00A642D0">
      <w:pPr>
        <w:pStyle w:val="BodyText"/>
      </w:pPr>
      <w:r w:rsidRPr="00CB10A8">
        <w:t>This section describes those language, literacy, numeracy and employment skills that are essential to performance.</w:t>
      </w:r>
    </w:p>
    <w:p w:rsidR="00000000" w:rsidRPr="00CB10A8" w:rsidP="00A642D0">
      <w:pPr>
        <w:pStyle w:val="BodyText"/>
      </w:pPr>
      <w:r w:rsidRPr="00CB10A8">
        <w:t xml:space="preserve">Numeracy skills to analyse energy use data and to quantify savings, costs and benefits of opportunities for energy use improvements.   </w:t>
      </w:r>
    </w:p>
    <w:p w:rsidR="00000000" w:rsidRPr="00CB10A8" w:rsidP="00A642D0">
      <w:pPr>
        <w:pStyle w:val="BodyText"/>
      </w:pPr>
      <w:r w:rsidRPr="00CB10A8">
        <w:t>Other</w:t>
      </w:r>
      <w:r w:rsidRPr="00CB10A8">
        <w:t xml:space="preserve"> foundation skills essential to performance are explicit in the performance criteria of this unit of competency.</w:t>
      </w:r>
    </w:p>
    <w:p w:rsidR="00000000" w:rsidRPr="00CB10A8" w:rsidP="00CB10A8">
      <w:pPr>
        <w:pStyle w:val="Heading1"/>
      </w:pPr>
      <w:bookmarkStart w:id="8" w:name="O_989662"/>
      <w:bookmarkEnd w:id="8"/>
      <w:r w:rsidRPr="00CB10A8">
        <w:t>Unit Mapping Information</w:t>
      </w:r>
    </w:p>
    <w:p w:rsidR="00000000" w:rsidRPr="00CB10A8" w:rsidP="00A642D0">
      <w:pPr>
        <w:pStyle w:val="BodyText"/>
      </w:pPr>
      <w:r w:rsidRPr="00CB10A8">
        <w:t>No equivalent unit.</w:t>
      </w:r>
    </w:p>
    <w:p w:rsidR="00000000" w:rsidRPr="00CB10A8" w:rsidP="00CB10A8">
      <w:pPr>
        <w:pStyle w:val="Heading1"/>
      </w:pPr>
      <w:bookmarkStart w:id="9" w:name="O_989669"/>
      <w:bookmarkEnd w:id="9"/>
      <w:r w:rsidRPr="00CB10A8">
        <w:t>Links</w:t>
      </w:r>
    </w:p>
    <w:p w:rsidR="00000000" w:rsidRPr="00CB10A8" w:rsidP="00A642D0">
      <w:pPr>
        <w:pStyle w:val="BodyText"/>
      </w:pPr>
      <w:r w:rsidRPr="00CB10A8">
        <w:t>The MSS Sustainability Companion Volume implementation Gui</w:t>
      </w:r>
      <w:r w:rsidRPr="00CB10A8">
        <w:t xml:space="preserve">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67EE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B10A8" w:rsidP="00A642D0">
      <w:pPr>
        <w:pStyle w:val="BodyText"/>
        <w:sectPr w:rsidSect="00CB10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0A8" w:rsidP="00CB10A8">
      <w:pPr>
        <w:pStyle w:val="SuperHeading"/>
      </w:pPr>
      <w:r w:rsidRPr="00CB10A8">
        <w:t>Assessment Requirements for MSS015020 Facilitate an energy audit</w:t>
      </w:r>
    </w:p>
    <w:p w:rsidR="00000000" w:rsidRPr="00CB10A8" w:rsidP="00CB10A8">
      <w:pPr>
        <w:pStyle w:val="Heading1"/>
      </w:pPr>
      <w:bookmarkStart w:id="10" w:name="O_989664"/>
      <w:bookmarkEnd w:id="10"/>
      <w:r w:rsidRPr="00CB10A8">
        <w:t>Modificati</w:t>
      </w:r>
      <w:r w:rsidRPr="00CB10A8">
        <w:t>on History</w:t>
      </w:r>
    </w:p>
    <w:p w:rsidR="00A642D0" w:rsidP="00A642D0">
      <w:pPr>
        <w:pStyle w:val="BodyText"/>
      </w:pPr>
      <w:r w:rsidRPr="00CB10A8">
        <w:t>Release 1. New unit.</w:t>
      </w:r>
    </w:p>
    <w:p w:rsidR="00000000" w:rsidRPr="00CB10A8" w:rsidP="00CB10A8">
      <w:pPr>
        <w:pStyle w:val="Heading1"/>
      </w:pPr>
      <w:bookmarkStart w:id="11" w:name="O_989665"/>
      <w:bookmarkEnd w:id="11"/>
      <w:r w:rsidRPr="00CB10A8">
        <w:t>Performance Evidence</w:t>
      </w:r>
    </w:p>
    <w:p w:rsidR="00000000" w:rsidRPr="00CB10A8" w:rsidP="00A642D0">
      <w:pPr>
        <w:pStyle w:val="BodyText"/>
      </w:pPr>
      <w:r w:rsidRPr="00CB10A8">
        <w:t>There must be evidence the candidate has completed the tasks outlined in the elements and performance criteria of this unit, and:</w:t>
      </w:r>
    </w:p>
    <w:p w:rsidR="00000000" w:rsidRPr="00CB10A8" w:rsidP="00CB10A8">
      <w:pPr>
        <w:pStyle w:val="ListBullet"/>
      </w:pPr>
      <w:r w:rsidRPr="00CB10A8">
        <w:t>facilitated an energy audit for at least 1 organisatio</w:t>
      </w:r>
      <w:r w:rsidRPr="00CB10A8">
        <w:t>n or part of organisation, including:</w:t>
      </w:r>
    </w:p>
    <w:p w:rsidR="00000000" w:rsidRPr="00CB10A8" w:rsidP="00CB10A8">
      <w:pPr>
        <w:pStyle w:val="ListBullet2"/>
      </w:pPr>
      <w:r w:rsidRPr="00CB10A8">
        <w:t xml:space="preserve">data on operations, infrastructure, equipment and systems </w:t>
      </w:r>
    </w:p>
    <w:p w:rsidR="00000000" w:rsidRPr="00CB10A8" w:rsidP="00CB10A8">
      <w:pPr>
        <w:pStyle w:val="ListBullet2"/>
      </w:pPr>
      <w:r w:rsidRPr="00CB10A8">
        <w:t>direct and indirect emissions</w:t>
      </w:r>
    </w:p>
    <w:p w:rsidR="00000000" w:rsidRPr="00CB10A8" w:rsidP="00CB10A8">
      <w:pPr>
        <w:pStyle w:val="ListBullet"/>
      </w:pPr>
      <w:r w:rsidRPr="00CB10A8">
        <w:t>used oral and written communication and presentation skills to present audit findings.</w:t>
      </w:r>
    </w:p>
    <w:p w:rsidR="00000000" w:rsidRPr="00CB10A8" w:rsidP="00CB10A8">
      <w:pPr>
        <w:pStyle w:val="AllowPageBreak"/>
      </w:pPr>
    </w:p>
    <w:p w:rsidR="00000000" w:rsidRPr="00CB10A8" w:rsidP="00CB10A8">
      <w:pPr>
        <w:pStyle w:val="Heading1"/>
      </w:pPr>
      <w:bookmarkStart w:id="12" w:name="O_989666"/>
      <w:bookmarkEnd w:id="12"/>
      <w:r w:rsidRPr="00CB10A8">
        <w:t>Knowledge Evidence</w:t>
      </w:r>
    </w:p>
    <w:p w:rsidR="00000000" w:rsidRPr="00CB10A8" w:rsidP="00A642D0">
      <w:pPr>
        <w:pStyle w:val="BodyText"/>
      </w:pPr>
      <w:r w:rsidRPr="00CB10A8">
        <w:t>There must be evidence the candidate has knowledge of:</w:t>
      </w:r>
    </w:p>
    <w:p w:rsidR="00000000" w:rsidRPr="00CB10A8" w:rsidP="00CB10A8">
      <w:pPr>
        <w:pStyle w:val="ListBullet"/>
      </w:pPr>
      <w:r w:rsidRPr="00CB10A8">
        <w:t>local and international regulations, standards, codes and protocols relating to facility, energy and audit type</w:t>
      </w:r>
    </w:p>
    <w:p w:rsidR="00000000" w:rsidRPr="00CB10A8" w:rsidP="00CB10A8">
      <w:pPr>
        <w:pStyle w:val="ListBullet"/>
      </w:pPr>
      <w:r w:rsidRPr="00CB10A8">
        <w:t>principles and application of AS/NZS 3598 series or equivalent relevant to facility type</w:t>
      </w:r>
      <w:r w:rsidRPr="00CB10A8">
        <w:t xml:space="preserve"> and audit type, including requirements for:</w:t>
      </w:r>
    </w:p>
    <w:p w:rsidR="00000000" w:rsidRPr="00CB10A8" w:rsidP="00CB10A8">
      <w:pPr>
        <w:pStyle w:val="ListBullet2"/>
      </w:pPr>
      <w:r w:rsidRPr="00CB10A8">
        <w:t>auditor competencies</w:t>
      </w:r>
    </w:p>
    <w:p w:rsidR="00000000" w:rsidRPr="00CB10A8" w:rsidP="00CB10A8">
      <w:pPr>
        <w:pStyle w:val="ListBullet2"/>
      </w:pPr>
      <w:r w:rsidRPr="00CB10A8">
        <w:t>organisation’s engagement with the audit</w:t>
      </w:r>
    </w:p>
    <w:p w:rsidR="00000000" w:rsidRPr="00CB10A8" w:rsidP="00CB10A8">
      <w:pPr>
        <w:pStyle w:val="ListBullet"/>
      </w:pPr>
      <w:r w:rsidRPr="00CB10A8">
        <w:t>site level energy use data</w:t>
      </w:r>
    </w:p>
    <w:p w:rsidR="00000000" w:rsidRPr="00CB10A8" w:rsidP="00CB10A8">
      <w:pPr>
        <w:pStyle w:val="ListBullet"/>
      </w:pPr>
      <w:r w:rsidRPr="00CB10A8">
        <w:t xml:space="preserve">data collection methods </w:t>
      </w:r>
    </w:p>
    <w:p w:rsidR="00000000" w:rsidRPr="00CB10A8" w:rsidP="00CB10A8">
      <w:pPr>
        <w:pStyle w:val="ListBullet"/>
      </w:pPr>
      <w:r w:rsidRPr="00CB10A8">
        <w:t>mechanical and electrical systems</w:t>
      </w:r>
    </w:p>
    <w:p w:rsidR="00000000" w:rsidRPr="00CB10A8" w:rsidP="00CB10A8">
      <w:pPr>
        <w:pStyle w:val="ListBullet"/>
      </w:pPr>
      <w:r w:rsidRPr="00CB10A8">
        <w:t>energy management strategies and opportunities</w:t>
      </w:r>
    </w:p>
    <w:p w:rsidR="00000000" w:rsidRPr="00CB10A8" w:rsidP="00CB10A8">
      <w:pPr>
        <w:pStyle w:val="ListBullet"/>
      </w:pPr>
      <w:r w:rsidRPr="00CB10A8">
        <w:t>energy performance indicators (EnPIs), energy benchmarks and best practice targets</w:t>
      </w:r>
    </w:p>
    <w:p w:rsidR="00000000" w:rsidRPr="00CB10A8" w:rsidP="00CB10A8">
      <w:pPr>
        <w:pStyle w:val="ListBullet"/>
      </w:pPr>
      <w:r w:rsidRPr="00CB10A8">
        <w:t>purpose and benefits of energy and GHG audits</w:t>
      </w:r>
    </w:p>
    <w:p w:rsidR="00000000" w:rsidRPr="00CB10A8" w:rsidP="00CB10A8">
      <w:pPr>
        <w:pStyle w:val="ListBullet"/>
      </w:pPr>
      <w:r w:rsidRPr="00CB10A8">
        <w:t>Greenhouse Gas (GHG) concept, background, environmental impact and reduction schemes</w:t>
      </w:r>
    </w:p>
    <w:p w:rsidR="00000000" w:rsidRPr="00CB10A8" w:rsidP="00CB10A8">
      <w:pPr>
        <w:pStyle w:val="ListBullet"/>
      </w:pPr>
      <w:r w:rsidRPr="00CB10A8">
        <w:t>Principles of Carbon Management, offset an</w:t>
      </w:r>
      <w:r w:rsidRPr="00CB10A8">
        <w:t>d funding</w:t>
      </w:r>
    </w:p>
    <w:p w:rsidR="00000000" w:rsidRPr="00CB10A8" w:rsidP="00CB10A8">
      <w:pPr>
        <w:pStyle w:val="ListBullet"/>
      </w:pPr>
      <w:r w:rsidRPr="00CB10A8">
        <w:t>reductions versus offset approaches</w:t>
      </w:r>
    </w:p>
    <w:p w:rsidR="00000000" w:rsidRPr="00CB10A8" w:rsidP="00CB10A8">
      <w:pPr>
        <w:pStyle w:val="ListBullet"/>
      </w:pPr>
      <w:r w:rsidRPr="00CB10A8">
        <w:t>cost benefit analysis</w:t>
      </w:r>
    </w:p>
    <w:p w:rsidR="00000000" w:rsidRPr="00CB10A8" w:rsidP="00CB10A8">
      <w:pPr>
        <w:pStyle w:val="ListBullet"/>
      </w:pPr>
      <w:r w:rsidRPr="00CB10A8">
        <w:t>facilitative, collaborative and participative approaches and techniques</w:t>
      </w:r>
    </w:p>
    <w:p w:rsidR="00000000" w:rsidRPr="00CB10A8" w:rsidP="00CB10A8">
      <w:pPr>
        <w:pStyle w:val="ListBullet"/>
      </w:pPr>
      <w:r w:rsidRPr="00CB10A8">
        <w:t xml:space="preserve">continuous improvement concept and techniques </w:t>
      </w:r>
    </w:p>
    <w:p w:rsidR="00000000" w:rsidRPr="00CB10A8" w:rsidP="00CB10A8">
      <w:pPr>
        <w:pStyle w:val="ListBullet"/>
      </w:pPr>
      <w:r w:rsidRPr="00CB10A8">
        <w:t>legislative, organisation and site requirements, including:</w:t>
      </w:r>
    </w:p>
    <w:p w:rsidR="00000000" w:rsidRPr="00CB10A8" w:rsidP="00CB10A8">
      <w:pPr>
        <w:pStyle w:val="ListBullet2"/>
      </w:pPr>
      <w:r w:rsidRPr="00CB10A8">
        <w:t>work hea</w:t>
      </w:r>
      <w:r w:rsidRPr="00CB10A8">
        <w:t>lth and safety</w:t>
      </w:r>
    </w:p>
    <w:p w:rsidR="00000000" w:rsidRPr="00CB10A8" w:rsidP="00CB10A8">
      <w:pPr>
        <w:pStyle w:val="ListBullet2"/>
      </w:pPr>
      <w:r w:rsidRPr="00CB10A8">
        <w:t>site access</w:t>
      </w:r>
    </w:p>
    <w:p w:rsidR="00000000" w:rsidRPr="00CB10A8" w:rsidP="00CB10A8">
      <w:pPr>
        <w:pStyle w:val="ListBullet2"/>
      </w:pPr>
      <w:r w:rsidRPr="00CB10A8">
        <w:t>security</w:t>
      </w:r>
    </w:p>
    <w:p w:rsidR="00000000" w:rsidRPr="00CB10A8" w:rsidP="00CB10A8">
      <w:pPr>
        <w:pStyle w:val="ListBullet2"/>
      </w:pPr>
      <w:r w:rsidRPr="00CB10A8">
        <w:t>confidentiality.</w:t>
      </w:r>
    </w:p>
    <w:p w:rsidR="00000000" w:rsidRPr="00CB10A8" w:rsidP="00CB10A8">
      <w:pPr>
        <w:pStyle w:val="AllowPageBreak"/>
      </w:pPr>
    </w:p>
    <w:p w:rsidR="00000000" w:rsidRPr="00CB10A8" w:rsidP="00CB10A8">
      <w:pPr>
        <w:pStyle w:val="Heading1"/>
      </w:pPr>
      <w:bookmarkStart w:id="13" w:name="O_989667"/>
      <w:bookmarkEnd w:id="13"/>
      <w:r w:rsidRPr="00CB10A8">
        <w:t>Assessment Conditions</w:t>
      </w:r>
    </w:p>
    <w:p w:rsidR="00000000" w:rsidRPr="00CB10A8" w:rsidP="00A642D0">
      <w:pPr>
        <w:pStyle w:val="BodyText"/>
      </w:pPr>
      <w:r w:rsidRPr="00CB10A8">
        <w:t xml:space="preserve">Skills must have been demonstrated in the workplace or in a simulated environment that reflects workplace conditions and contingencies. The following conditions </w:t>
      </w:r>
      <w:r w:rsidRPr="00CB10A8">
        <w:t xml:space="preserve">must be met for this unit: </w:t>
      </w:r>
    </w:p>
    <w:p w:rsidR="00000000" w:rsidRPr="00CB10A8" w:rsidP="00CB10A8">
      <w:pPr>
        <w:pStyle w:val="ListBullet"/>
      </w:pPr>
      <w:r w:rsidRPr="00CB10A8">
        <w:t xml:space="preserve">use of facilities, equipment and resources, including: </w:t>
      </w:r>
    </w:p>
    <w:p w:rsidR="00000000" w:rsidRPr="00CB10A8" w:rsidP="00CB10A8">
      <w:pPr>
        <w:pStyle w:val="ListBullet"/>
      </w:pPr>
      <w:r w:rsidRPr="00CB10A8">
        <w:t>operations, infrastructure, equipment, systems or actual site to be audited</w:t>
      </w:r>
    </w:p>
    <w:p w:rsidR="00000000" w:rsidRPr="00CB10A8" w:rsidP="00CB10A8">
      <w:pPr>
        <w:pStyle w:val="ListBullet"/>
      </w:pPr>
      <w:r w:rsidRPr="00CB10A8">
        <w:t>AS/NZS 3598 series or equivalent relevant to facility and audit type</w:t>
      </w:r>
    </w:p>
    <w:p w:rsidR="00000000" w:rsidRPr="00CB10A8" w:rsidP="00CB10A8">
      <w:pPr>
        <w:pStyle w:val="ListBullet"/>
      </w:pPr>
      <w:r w:rsidRPr="00CB10A8">
        <w:t>direct and indirect emissi</w:t>
      </w:r>
      <w:r w:rsidRPr="00CB10A8">
        <w:t>on data.</w:t>
      </w:r>
    </w:p>
    <w:p w:rsidR="00000000" w:rsidRPr="00CB10A8" w:rsidP="00A642D0">
      <w:pPr>
        <w:pStyle w:val="BodyText"/>
      </w:pPr>
      <w:r w:rsidRPr="00CB10A8">
        <w:br/>
        <w:t>Assessors must satisfy the NVR/AQTF mandatory competency requirements for assessors.</w:t>
      </w:r>
    </w:p>
    <w:p w:rsidR="00000000" w:rsidRPr="00CB10A8" w:rsidP="00CB10A8">
      <w:pPr>
        <w:pStyle w:val="AllowPageBreak"/>
      </w:pPr>
    </w:p>
    <w:p w:rsidR="00000000" w:rsidRPr="00CB10A8" w:rsidP="00CB10A8">
      <w:pPr>
        <w:pStyle w:val="Heading1"/>
      </w:pPr>
      <w:bookmarkStart w:id="14" w:name="O_989670"/>
      <w:bookmarkEnd w:id="14"/>
      <w:r w:rsidRPr="00CB10A8">
        <w:t>Links</w:t>
      </w:r>
    </w:p>
    <w:p w:rsidR="00000000" w:rsidRPr="00CB10A8" w:rsidP="00A642D0">
      <w:pPr>
        <w:pStyle w:val="BodyText"/>
      </w:pPr>
      <w:r w:rsidRPr="00CB10A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67EE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B10A8" w:rsidP="00CB10A8"/>
    <w:sectPr w:rsidSect="00CB10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 w:rsidRPr="00A642D0" w:rsidP="00A64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D0" w:rsidP="00CB1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2D0" w:rsidP="00CB1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42D0" w:rsidP="00CB10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 w:rsidP="00CB10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42D0">
      <w:t>Approved</w:t>
    </w:r>
    <w:r w:rsidR="00A642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42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42D0">
      <w:rPr>
        <w:noProof/>
      </w:rPr>
      <w:t>4</w:t>
    </w:r>
    <w:r>
      <w:rPr>
        <w:noProof/>
      </w:rPr>
      <w:fldChar w:fldCharType="end"/>
    </w:r>
  </w:p>
  <w:p w:rsidR="00CB10A8" w:rsidP="00CB10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42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42D0">
      <w:t>Manufacturing Industry Skills Alliance</w:t>
    </w:r>
    <w:r w:rsidR="00A642D0">
      <w:fldChar w:fldCharType="end"/>
    </w:r>
  </w:p>
  <w:p w:rsidR="00CB10A8" w:rsidP="00CB10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0A8" w:rsidRPr="00A642D0" w:rsidP="00A64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2D0" w:rsidRPr="002D2AF8" w:rsidP="00CB1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MSS015020 Facilitate an energy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42D0" w:rsidP="00CB10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A8" w:rsidRPr="002D2AF8" w:rsidP="00CB10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42D0">
      <w:t>MSS015020 Facilitate an energy audit</w:t>
    </w:r>
    <w:r w:rsidR="00A642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42D0">
      <w:rPr>
        <w:noProof/>
      </w:rPr>
      <w:t>2 March 2025</w:t>
    </w:r>
    <w:r>
      <w:fldChar w:fldCharType="end"/>
    </w:r>
  </w:p>
  <w:p w:rsidR="00CB10A8" w:rsidP="00CB10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1C0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A28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61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0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0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0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0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0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0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0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0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0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0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0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0A8"/>
  </w:style>
  <w:style w:type="character" w:customStyle="1" w:styleId="Heading1Char">
    <w:name w:val="Heading 1 Char"/>
    <w:basedOn w:val="DefaultParagraphFont"/>
    <w:link w:val="Heading1"/>
    <w:rsid w:val="00CB10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0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0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0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0A8"/>
    <w:rPr>
      <w:b/>
      <w:spacing w:val="0"/>
    </w:rPr>
  </w:style>
  <w:style w:type="paragraph" w:styleId="ListBullet2">
    <w:name w:val="List Bullet 2"/>
    <w:basedOn w:val="List2"/>
    <w:rsid w:val="00CB10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0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0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0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0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0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0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0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0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0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0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0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0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0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0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0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0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0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0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0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0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0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0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0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0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0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0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0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0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0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0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0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0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0A8"/>
    <w:rPr>
      <w:i/>
    </w:rPr>
  </w:style>
  <w:style w:type="paragraph" w:styleId="Caption">
    <w:name w:val="caption"/>
    <w:basedOn w:val="BodyText"/>
    <w:next w:val="Normal"/>
    <w:qFormat/>
    <w:rsid w:val="00CB10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0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0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0A8"/>
  </w:style>
  <w:style w:type="paragraph" w:styleId="TableofFigures">
    <w:name w:val="table of figures"/>
    <w:basedOn w:val="Normal"/>
    <w:next w:val="Normal"/>
    <w:semiHidden/>
    <w:rsid w:val="00CB10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0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0A8"/>
    <w:rPr>
      <w:rFonts w:ascii="Wingdings" w:hAnsi="Wingdings"/>
    </w:rPr>
  </w:style>
  <w:style w:type="paragraph" w:customStyle="1" w:styleId="TableHeading">
    <w:name w:val="Table Heading"/>
    <w:basedOn w:val="HeadingBase"/>
    <w:rsid w:val="00CB10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0A8"/>
    <w:rPr>
      <w:color w:val="0033CC"/>
      <w:u w:val="none"/>
    </w:rPr>
  </w:style>
  <w:style w:type="paragraph" w:customStyle="1" w:styleId="BodyTextRight">
    <w:name w:val="Body Text Right"/>
    <w:basedOn w:val="BodyText"/>
    <w:rsid w:val="00CB10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0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0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0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0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0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0A8"/>
    <w:rPr>
      <w:sz w:val="32"/>
    </w:rPr>
  </w:style>
  <w:style w:type="paragraph" w:customStyle="1" w:styleId="HeadingProcedure">
    <w:name w:val="Heading Procedure"/>
    <w:basedOn w:val="HeadingBase"/>
    <w:next w:val="Normal"/>
    <w:rsid w:val="00CB10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0A8"/>
    <w:pPr>
      <w:spacing w:before="60" w:after="60"/>
    </w:pPr>
  </w:style>
  <w:style w:type="paragraph" w:styleId="ListContinue">
    <w:name w:val="List Continue"/>
    <w:basedOn w:val="List"/>
    <w:rsid w:val="00CB10A8"/>
    <w:pPr>
      <w:ind w:firstLine="0"/>
    </w:pPr>
  </w:style>
  <w:style w:type="paragraph" w:customStyle="1" w:styleId="ListNote">
    <w:name w:val="List Note"/>
    <w:basedOn w:val="List"/>
    <w:rsid w:val="00CB10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0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0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0A8"/>
    <w:rPr>
      <w:rFonts w:ascii="Courier New" w:hAnsi="Courier New"/>
    </w:rPr>
  </w:style>
  <w:style w:type="paragraph" w:customStyle="1" w:styleId="NoteBullet">
    <w:name w:val="Note Bullet"/>
    <w:basedOn w:val="Note"/>
    <w:rsid w:val="00CB10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0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0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0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0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0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0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0A8"/>
    <w:rPr>
      <w:b/>
      <w:smallCaps/>
    </w:rPr>
  </w:style>
  <w:style w:type="paragraph" w:customStyle="1" w:styleId="TableListNumber">
    <w:name w:val="Table List Number"/>
    <w:basedOn w:val="ListNumber"/>
    <w:rsid w:val="00CB10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0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0A8"/>
    <w:pPr>
      <w:numPr>
        <w:numId w:val="9"/>
      </w:numPr>
    </w:pPr>
  </w:style>
  <w:style w:type="paragraph" w:customStyle="1" w:styleId="ListAlpha2">
    <w:name w:val="List Alpha 2"/>
    <w:basedOn w:val="List2"/>
    <w:rsid w:val="00CB10A8"/>
    <w:pPr>
      <w:numPr>
        <w:numId w:val="8"/>
      </w:numPr>
    </w:pPr>
  </w:style>
  <w:style w:type="paragraph" w:styleId="List2">
    <w:name w:val="List 2"/>
    <w:basedOn w:val="BodyText"/>
    <w:rsid w:val="00CB10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0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0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0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0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0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0A8"/>
    <w:pPr>
      <w:numPr>
        <w:numId w:val="4"/>
      </w:numPr>
    </w:pPr>
  </w:style>
  <w:style w:type="paragraph" w:styleId="ListContinue2">
    <w:name w:val="List Continue 2"/>
    <w:basedOn w:val="List2"/>
    <w:rsid w:val="00CB10A8"/>
    <w:pPr>
      <w:ind w:firstLine="0"/>
    </w:pPr>
  </w:style>
  <w:style w:type="paragraph" w:styleId="ListContinue3">
    <w:name w:val="List Continue 3"/>
    <w:basedOn w:val="List3"/>
    <w:rsid w:val="00CB10A8"/>
    <w:pPr>
      <w:ind w:left="1021" w:firstLine="0"/>
    </w:pPr>
  </w:style>
  <w:style w:type="paragraph" w:styleId="ListContinue4">
    <w:name w:val="List Continue 4"/>
    <w:basedOn w:val="List4"/>
    <w:rsid w:val="00CB10A8"/>
    <w:pPr>
      <w:ind w:firstLine="0"/>
    </w:pPr>
  </w:style>
  <w:style w:type="paragraph" w:styleId="ListContinue5">
    <w:name w:val="List Continue 5"/>
    <w:basedOn w:val="List5"/>
    <w:rsid w:val="00CB10A8"/>
    <w:pPr>
      <w:ind w:firstLine="0"/>
    </w:pPr>
  </w:style>
  <w:style w:type="paragraph" w:styleId="ListNumber3">
    <w:name w:val="List Number 3"/>
    <w:basedOn w:val="List3"/>
    <w:rsid w:val="00CB10A8"/>
    <w:pPr>
      <w:numPr>
        <w:numId w:val="5"/>
      </w:numPr>
    </w:pPr>
  </w:style>
  <w:style w:type="paragraph" w:styleId="ListNumber4">
    <w:name w:val="List Number 4"/>
    <w:basedOn w:val="List4"/>
    <w:rsid w:val="00CB10A8"/>
    <w:pPr>
      <w:numPr>
        <w:numId w:val="6"/>
      </w:numPr>
    </w:pPr>
  </w:style>
  <w:style w:type="paragraph" w:styleId="ListNumber5">
    <w:name w:val="List Number 5"/>
    <w:basedOn w:val="List5"/>
    <w:rsid w:val="00CB10A8"/>
    <w:pPr>
      <w:numPr>
        <w:numId w:val="7"/>
      </w:numPr>
    </w:pPr>
  </w:style>
  <w:style w:type="paragraph" w:styleId="BlockText">
    <w:name w:val="Block Text"/>
    <w:basedOn w:val="Normal"/>
    <w:rsid w:val="00CB10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0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0A8"/>
    <w:rPr>
      <w:sz w:val="16"/>
      <w:vertAlign w:val="superscript"/>
    </w:rPr>
  </w:style>
  <w:style w:type="character" w:customStyle="1" w:styleId="Symbols">
    <w:name w:val="Symbols"/>
    <w:basedOn w:val="DefaultParagraphFont"/>
    <w:rsid w:val="00CB10A8"/>
    <w:rPr>
      <w:rFonts w:ascii="Symbol" w:hAnsi="Symbol"/>
    </w:rPr>
  </w:style>
  <w:style w:type="character" w:customStyle="1" w:styleId="MenuOptions">
    <w:name w:val="Menu Options"/>
    <w:basedOn w:val="DefaultParagraphFont"/>
    <w:rsid w:val="00CB10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0A8"/>
    <w:rPr>
      <w:b/>
    </w:rPr>
  </w:style>
  <w:style w:type="character" w:customStyle="1" w:styleId="Underlined">
    <w:name w:val="Underlined"/>
    <w:basedOn w:val="DefaultParagraphFont"/>
    <w:rsid w:val="00CB10A8"/>
    <w:rPr>
      <w:u w:val="single"/>
    </w:rPr>
  </w:style>
  <w:style w:type="paragraph" w:customStyle="1" w:styleId="TableBodyTextRight">
    <w:name w:val="Table Body Text Right"/>
    <w:basedOn w:val="TableBodyText"/>
    <w:rsid w:val="00CB10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0A8"/>
    <w:rPr>
      <w:sz w:val="18"/>
    </w:rPr>
  </w:style>
  <w:style w:type="paragraph" w:customStyle="1" w:styleId="BodySmallRight">
    <w:name w:val="Body Small Right"/>
    <w:basedOn w:val="BodyTextRight"/>
    <w:rsid w:val="00CB10A8"/>
    <w:rPr>
      <w:sz w:val="18"/>
      <w:szCs w:val="18"/>
    </w:rPr>
  </w:style>
  <w:style w:type="paragraph" w:customStyle="1" w:styleId="MarginEdition">
    <w:name w:val="Margin Edition"/>
    <w:basedOn w:val="MarginNote"/>
    <w:rsid w:val="00CB10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0A8"/>
    <w:rPr>
      <w:sz w:val="2"/>
      <w:szCs w:val="2"/>
    </w:rPr>
  </w:style>
  <w:style w:type="character" w:customStyle="1" w:styleId="Small">
    <w:name w:val="Small"/>
    <w:basedOn w:val="DefaultParagraphFont"/>
    <w:rsid w:val="00CB10A8"/>
    <w:rPr>
      <w:sz w:val="16"/>
    </w:rPr>
  </w:style>
  <w:style w:type="paragraph" w:customStyle="1" w:styleId="WideTable">
    <w:name w:val="Wide Table"/>
    <w:basedOn w:val="Normal"/>
    <w:rsid w:val="00CB10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0A8"/>
  </w:style>
  <w:style w:type="paragraph" w:styleId="Quote">
    <w:name w:val="Quote"/>
    <w:basedOn w:val="Heading1"/>
    <w:link w:val="QuoteChar"/>
    <w:qFormat/>
    <w:rsid w:val="00CB10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0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0A8"/>
    <w:pPr>
      <w:pageBreakBefore/>
    </w:pPr>
  </w:style>
  <w:style w:type="paragraph" w:customStyle="1" w:styleId="Border">
    <w:name w:val="Border"/>
    <w:basedOn w:val="Normal"/>
    <w:qFormat/>
    <w:rsid w:val="00CB10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0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0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0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0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0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0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0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0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0A8"/>
    <w:rPr>
      <w:u w:val="single"/>
    </w:rPr>
  </w:style>
  <w:style w:type="character" w:customStyle="1" w:styleId="BoldandItalics">
    <w:name w:val="Bold and Italics"/>
    <w:qFormat/>
    <w:rsid w:val="00CB10A8"/>
    <w:rPr>
      <w:b/>
      <w:i/>
      <w:u w:val="none"/>
    </w:rPr>
  </w:style>
  <w:style w:type="paragraph" w:styleId="BalloonText">
    <w:name w:val="Balloon Text"/>
    <w:basedOn w:val="Normal"/>
    <w:link w:val="BalloonTextChar"/>
    <w:rsid w:val="00CB10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0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0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0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0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0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0A8"/>
    <w:pPr>
      <w:spacing w:before="0" w:after="0"/>
    </w:pPr>
  </w:style>
  <w:style w:type="paragraph" w:customStyle="1" w:styleId="BodyTextBold">
    <w:name w:val="Body Text Bold"/>
    <w:basedOn w:val="BodyText"/>
    <w:qFormat/>
    <w:rsid w:val="00CB10A8"/>
    <w:rPr>
      <w:b/>
    </w:rPr>
  </w:style>
  <w:style w:type="character" w:styleId="Hyperlink">
    <w:name w:val="Hyperlink"/>
    <w:basedOn w:val="DefaultParagraphFont"/>
    <w:uiPriority w:val="99"/>
    <w:unhideWhenUsed/>
    <w:rsid w:val="00A64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5622</Characters>
  <Application>Microsoft Office Word</Application>
  <DocSecurity>0</DocSecurity>
  <Lines>267</Lines>
  <Paragraphs>150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MSS015020 Facilitate an energy audit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