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59D" w:rsidP="002A059D">
      <w:pPr>
        <w:pStyle w:val="Title"/>
      </w:pPr>
      <w:r>
        <w:fldChar w:fldCharType="begin"/>
      </w:r>
      <w:r>
        <w:instrText xml:space="preserve"> TITLE   \* MERGEFORMAT </w:instrText>
      </w:r>
      <w:r>
        <w:fldChar w:fldCharType="separate"/>
      </w:r>
      <w:r>
        <w:t>MSS015018 Inform and educate organisation and community representatives on sustainability issues</w:t>
      </w:r>
      <w:r>
        <w:fldChar w:fldCharType="end"/>
      </w:r>
    </w:p>
    <w:p w:rsidR="002A059D" w:rsidP="002A059D">
      <w:pPr>
        <w:pStyle w:val="Version"/>
        <w:sectPr w:rsidSect="00FC0E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E0F" w:rsidP="00FC0E0F">
      <w:pPr>
        <w:pStyle w:val="SuperHeading"/>
      </w:pPr>
      <w:r w:rsidRPr="00FC0E0F">
        <w:t>MSS015018 Inform and educate organisation and community representatives on sustainability issues</w:t>
      </w:r>
    </w:p>
    <w:p w:rsidR="00000000" w:rsidRPr="00FC0E0F" w:rsidP="00FC0E0F">
      <w:pPr>
        <w:pStyle w:val="Heading1"/>
      </w:pPr>
      <w:bookmarkStart w:id="1" w:name="O_923248"/>
      <w:bookmarkEnd w:id="1"/>
      <w:r w:rsidRPr="00FC0E0F">
        <w:t>Modification History</w:t>
      </w:r>
    </w:p>
    <w:p w:rsidR="00000000" w:rsidRPr="00FC0E0F" w:rsidP="00FC0E0F">
      <w:pPr>
        <w:pStyle w:val="BodyText"/>
      </w:pPr>
      <w:r w:rsidRPr="00FC0E0F">
        <w:t xml:space="preserve">Release 1. Supersedes and is equivalent to MSS015018A Inform and educate organisation and community representatives on sustainability issues. </w:t>
      </w:r>
    </w:p>
    <w:p w:rsidR="00000000" w:rsidRPr="00FC0E0F" w:rsidP="00FC0E0F">
      <w:pPr>
        <w:pStyle w:val="AllowPageBreak"/>
      </w:pPr>
    </w:p>
    <w:p w:rsidR="00000000" w:rsidRPr="00FC0E0F" w:rsidP="00FC0E0F">
      <w:pPr>
        <w:pStyle w:val="Heading1"/>
      </w:pPr>
      <w:bookmarkStart w:id="2" w:name="O_923256"/>
      <w:bookmarkEnd w:id="2"/>
      <w:r w:rsidRPr="00FC0E0F">
        <w:t>Application</w:t>
      </w:r>
    </w:p>
    <w:p w:rsidR="00000000" w:rsidRPr="00FC0E0F" w:rsidP="00FC0E0F">
      <w:pPr>
        <w:pStyle w:val="BodyText"/>
      </w:pPr>
      <w:r w:rsidRPr="00FC0E0F">
        <w:t>This unit of competency covers explaining and providing advice on sustainability iss</w:t>
      </w:r>
      <w:r w:rsidRPr="00FC0E0F">
        <w:t xml:space="preserve">ues and processes to organisation and community representatives, including employees, managers, clients, suppliers and the local and wider community. </w:t>
      </w:r>
    </w:p>
    <w:p w:rsidR="00000000" w:rsidRPr="00FC0E0F" w:rsidP="00FC0E0F">
      <w:pPr>
        <w:pStyle w:val="BodyText"/>
      </w:pPr>
    </w:p>
    <w:p w:rsidR="00000000" w:rsidRPr="00FC0E0F" w:rsidP="00FC0E0F">
      <w:pPr>
        <w:pStyle w:val="BodyText"/>
      </w:pPr>
      <w:r w:rsidRPr="00FC0E0F">
        <w:t>This unit applies inside organisations and their value chains (e.g. supplier of goods or services or cus</w:t>
      </w:r>
      <w:r w:rsidRPr="00FC0E0F">
        <w:t xml:space="preserve">tomer) and applies to individuals who must inform and educate representatives of their own organisation, members of their organisation’s value chain and community representatives on sustainability issues. </w:t>
      </w:r>
    </w:p>
    <w:p w:rsidR="00000000" w:rsidRPr="00FC0E0F" w:rsidP="00FC0E0F">
      <w:pPr>
        <w:pStyle w:val="BodyText"/>
      </w:pPr>
    </w:p>
    <w:p w:rsidR="00000000" w:rsidRPr="00FC0E0F" w:rsidP="00FC0E0F">
      <w:pPr>
        <w:pStyle w:val="BodyText"/>
      </w:pPr>
      <w:r w:rsidRPr="00FC0E0F">
        <w:t>The unit has been developed with manufacturing op</w:t>
      </w:r>
      <w:r w:rsidRPr="00FC0E0F">
        <w:t>erations as a focus. However, because of the range of organisations in a typical manufacturing value chain it may also be applied to other types of organisations.</w:t>
      </w:r>
    </w:p>
    <w:p w:rsidR="00000000" w:rsidRPr="00FC0E0F" w:rsidP="00FC0E0F">
      <w:pPr>
        <w:pStyle w:val="BodyText"/>
      </w:pPr>
    </w:p>
    <w:p w:rsidR="00000000" w:rsidRPr="00FC0E0F" w:rsidP="00FC0E0F">
      <w:pPr>
        <w:pStyle w:val="BodyText"/>
      </w:pPr>
      <w:r w:rsidRPr="00FC0E0F">
        <w:t>Advice provided would be of a general nature and would not cover detailed technical interpre</w:t>
      </w:r>
      <w:r w:rsidRPr="00FC0E0F">
        <w:t>tation of test results or specialist financial, engineering or legal advice. A manager or technical specialist who has a major responsibility for sustainability as part of a broader work role would typically undertake this, or sustainability may be their p</w:t>
      </w:r>
      <w:r w:rsidRPr="00FC0E0F">
        <w:t>rimary work responsibility. The manager or technical specialist may undertake this alone or as part of a team.</w:t>
      </w:r>
    </w:p>
    <w:p w:rsidR="00000000" w:rsidRPr="00FC0E0F" w:rsidP="00FC0E0F">
      <w:pPr>
        <w:pStyle w:val="BodyText"/>
      </w:pPr>
    </w:p>
    <w:p w:rsidR="00000000" w:rsidRPr="00FC0E0F" w:rsidP="00FC0E0F">
      <w:pPr>
        <w:pStyle w:val="BodyText"/>
      </w:pPr>
      <w:r w:rsidRPr="00FC0E0F">
        <w:t>The technical measurement of operational performance or measurement of emissions or other environmental impact is not covered by this unit.</w:t>
      </w:r>
    </w:p>
    <w:p w:rsidR="00000000" w:rsidRPr="00FC0E0F" w:rsidP="00FC0E0F">
      <w:pPr>
        <w:pStyle w:val="BodyText"/>
      </w:pPr>
    </w:p>
    <w:p w:rsidR="00000000" w:rsidRPr="00FC0E0F" w:rsidP="00FC0E0F">
      <w:pPr>
        <w:pStyle w:val="BodyText"/>
      </w:pPr>
      <w:r w:rsidRPr="00FC0E0F">
        <w:t xml:space="preserve">No </w:t>
      </w:r>
      <w:r w:rsidRPr="00FC0E0F">
        <w:t>licensing, legislative or certification requirements apply to this unit at the time of publication.</w:t>
      </w:r>
    </w:p>
    <w:p w:rsidR="00000000" w:rsidRPr="00FC0E0F" w:rsidP="00FC0E0F">
      <w:pPr>
        <w:pStyle w:val="AllowPageBreak"/>
      </w:pPr>
    </w:p>
    <w:p w:rsidR="00000000" w:rsidRPr="00FC0E0F" w:rsidP="00FC0E0F">
      <w:pPr>
        <w:pStyle w:val="Heading1"/>
      </w:pPr>
      <w:bookmarkStart w:id="3" w:name="O_923255"/>
      <w:bookmarkEnd w:id="3"/>
      <w:r w:rsidRPr="00FC0E0F">
        <w:t>Pre-requisite Unit</w:t>
      </w:r>
    </w:p>
    <w:p w:rsidR="00000000" w:rsidRPr="00FC0E0F" w:rsidP="00FC0E0F">
      <w:pPr>
        <w:pStyle w:val="BodyText"/>
      </w:pPr>
      <w:r w:rsidRPr="00FC0E0F">
        <w:t>Nil</w:t>
      </w:r>
    </w:p>
    <w:p w:rsidR="00000000" w:rsidRPr="00FC0E0F" w:rsidP="00FC0E0F">
      <w:pPr>
        <w:pStyle w:val="AllowPageBreak"/>
      </w:pPr>
    </w:p>
    <w:p w:rsidR="00000000" w:rsidRPr="00FC0E0F" w:rsidP="00FC0E0F">
      <w:pPr>
        <w:pStyle w:val="Heading1"/>
      </w:pPr>
      <w:bookmarkStart w:id="4" w:name="O_923254"/>
      <w:bookmarkEnd w:id="4"/>
      <w:r w:rsidRPr="00FC0E0F">
        <w:t>Competency Field</w:t>
      </w:r>
    </w:p>
    <w:p w:rsidR="00000000" w:rsidRPr="00FC0E0F" w:rsidP="00FC0E0F">
      <w:pPr>
        <w:pStyle w:val="BodyText"/>
      </w:pPr>
      <w:r w:rsidRPr="00FC0E0F">
        <w:t>Sustainable operations</w:t>
      </w:r>
    </w:p>
    <w:p w:rsidR="00000000" w:rsidRPr="00FC0E0F" w:rsidP="00FC0E0F">
      <w:pPr>
        <w:pStyle w:val="AllowPageBreak"/>
      </w:pPr>
    </w:p>
    <w:p w:rsidR="00000000" w:rsidRPr="00FC0E0F" w:rsidP="00FC0E0F">
      <w:pPr>
        <w:pStyle w:val="Heading1"/>
      </w:pPr>
      <w:bookmarkStart w:id="5" w:name="O_923253"/>
      <w:bookmarkEnd w:id="5"/>
      <w:r w:rsidRPr="00FC0E0F">
        <w:t>Unit Sector</w:t>
      </w:r>
    </w:p>
    <w:p w:rsidR="00000000" w:rsidRPr="00FC0E0F" w:rsidP="00FC0E0F">
      <w:pPr>
        <w:pStyle w:val="BodyText"/>
      </w:pPr>
      <w:r w:rsidRPr="00FC0E0F">
        <w:t>Not applicable</w:t>
      </w:r>
    </w:p>
    <w:p w:rsidR="00000000" w:rsidRPr="00FC0E0F" w:rsidP="00FC0E0F">
      <w:pPr>
        <w:pStyle w:val="AllowPageBreak"/>
      </w:pPr>
    </w:p>
    <w:p w:rsidR="00000000" w:rsidRPr="00FC0E0F" w:rsidP="00FC0E0F">
      <w:pPr>
        <w:pStyle w:val="Heading1"/>
      </w:pPr>
      <w:bookmarkStart w:id="6" w:name="O_923252"/>
      <w:bookmarkEnd w:id="6"/>
      <w:r w:rsidRPr="00FC0E0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C0E0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Performance criteria describe the performance needed to demonstrate achievement of the element.</w:t>
            </w:r>
          </w:p>
        </w:tc>
      </w:tr>
      <w:tr w:rsidTr="00FC0E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0E0F" w:rsidP="00FC0E0F">
            <w:pPr>
              <w:pStyle w:val="BodyText"/>
            </w:pPr>
            <w:r w:rsidRPr="00FC0E0F">
              <w:t>1</w:t>
            </w:r>
          </w:p>
        </w:tc>
        <w:tc>
          <w:tcPr>
            <w:tcW w:w="1962" w:type="dxa"/>
            <w:vMerge w:val="restart"/>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rPr>
                <w:rStyle w:val="SpecialBold"/>
              </w:rPr>
              <w:t>Determine sustainability information or advice requirements</w:t>
            </w:r>
          </w:p>
        </w:tc>
        <w:tc>
          <w:tcPr>
            <w:tcW w:w="77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1.1</w:t>
            </w:r>
          </w:p>
        </w:tc>
        <w:tc>
          <w:tcPr>
            <w:tcW w:w="561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Determine need for sustainability information dissemination.</w:t>
            </w:r>
          </w:p>
        </w:tc>
      </w:tr>
      <w:tr w:rsidTr="00FC0E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1.2</w:t>
            </w:r>
          </w:p>
        </w:tc>
        <w:tc>
          <w:tcPr>
            <w:tcW w:w="561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Assess type and level of information required to be communicated.</w:t>
            </w:r>
          </w:p>
        </w:tc>
      </w:tr>
      <w:tr w:rsidTr="00FC0E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1.3</w:t>
            </w:r>
          </w:p>
        </w:tc>
        <w:tc>
          <w:tcPr>
            <w:tcW w:w="561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Determine if information release is covered by special provisions.</w:t>
            </w:r>
          </w:p>
        </w:tc>
      </w:tr>
      <w:tr w:rsidTr="00FC0E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1.4</w:t>
            </w:r>
          </w:p>
        </w:tc>
        <w:tc>
          <w:tcPr>
            <w:tcW w:w="561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Determine timing and distribution requirements for communication of information.</w:t>
            </w:r>
          </w:p>
        </w:tc>
      </w:tr>
      <w:tr w:rsidTr="00FC0E0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0E0F">
            <w:pPr>
              <w:pStyle w:val="BodyText"/>
              <w:rPr>
                <w:lang w:val="en-NZ"/>
              </w:rPr>
            </w:pPr>
          </w:p>
        </w:tc>
      </w:tr>
      <w:tr w:rsidTr="00FC0E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0E0F" w:rsidP="00FC0E0F">
            <w:pPr>
              <w:pStyle w:val="BodyText"/>
            </w:pPr>
            <w:r w:rsidRPr="00FC0E0F">
              <w:t>2</w:t>
            </w:r>
          </w:p>
        </w:tc>
        <w:tc>
          <w:tcPr>
            <w:tcW w:w="1962" w:type="dxa"/>
            <w:vMerge w:val="restart"/>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rPr>
                <w:rStyle w:val="SpecialBold"/>
              </w:rPr>
              <w:t>Provide sustainability related information</w:t>
            </w:r>
          </w:p>
        </w:tc>
        <w:tc>
          <w:tcPr>
            <w:tcW w:w="77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2.1</w:t>
            </w:r>
          </w:p>
        </w:tc>
        <w:tc>
          <w:tcPr>
            <w:tcW w:w="561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Acquire or produce required information in an appropriate format.</w:t>
            </w:r>
          </w:p>
        </w:tc>
      </w:tr>
      <w:tr w:rsidTr="00FC0E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2.2</w:t>
            </w:r>
          </w:p>
        </w:tc>
        <w:tc>
          <w:tcPr>
            <w:tcW w:w="561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Ensure documentation is accurate and information sources are suitable for ongoing reference.</w:t>
            </w:r>
          </w:p>
        </w:tc>
      </w:tr>
      <w:tr w:rsidTr="00FC0E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2.3</w:t>
            </w:r>
          </w:p>
        </w:tc>
        <w:tc>
          <w:tcPr>
            <w:tcW w:w="561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Ensure information covers options for improving sustainability.</w:t>
            </w:r>
          </w:p>
        </w:tc>
      </w:tr>
      <w:tr w:rsidTr="00FC0E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2.4</w:t>
            </w:r>
          </w:p>
        </w:tc>
        <w:tc>
          <w:tcPr>
            <w:tcW w:w="561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Provide relevant information through meetings or use of appropriate media.</w:t>
            </w:r>
          </w:p>
        </w:tc>
      </w:tr>
      <w:tr w:rsidTr="00FC0E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2.5</w:t>
            </w:r>
          </w:p>
        </w:tc>
        <w:tc>
          <w:tcPr>
            <w:tcW w:w="561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Provide an opportunity for representatives to confirm understanding and seek clarification.</w:t>
            </w:r>
          </w:p>
        </w:tc>
      </w:tr>
      <w:tr w:rsidTr="00FC0E0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0E0F">
            <w:pPr>
              <w:pStyle w:val="BodyText"/>
              <w:rPr>
                <w:lang w:val="en-NZ"/>
              </w:rPr>
            </w:pPr>
          </w:p>
        </w:tc>
      </w:tr>
      <w:tr w:rsidTr="00FC0E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0E0F" w:rsidP="00FC0E0F">
            <w:pPr>
              <w:pStyle w:val="BodyText"/>
            </w:pPr>
            <w:r w:rsidRPr="00FC0E0F">
              <w:t>3</w:t>
            </w:r>
          </w:p>
        </w:tc>
        <w:tc>
          <w:tcPr>
            <w:tcW w:w="1962" w:type="dxa"/>
            <w:vMerge w:val="restart"/>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rPr>
                <w:rStyle w:val="SpecialBold"/>
              </w:rPr>
              <w:t>Provide clarification on sustainability issues</w:t>
            </w:r>
          </w:p>
        </w:tc>
        <w:tc>
          <w:tcPr>
            <w:tcW w:w="77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3.1</w:t>
            </w:r>
          </w:p>
        </w:tc>
        <w:tc>
          <w:tcPr>
            <w:tcW w:w="561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Determine if assistance/advice is required from a specialist.</w:t>
            </w:r>
          </w:p>
        </w:tc>
      </w:tr>
      <w:tr w:rsidTr="00FC0E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3.2</w:t>
            </w:r>
          </w:p>
        </w:tc>
        <w:tc>
          <w:tcPr>
            <w:tcW w:w="561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Undertake an inspection of site or equipment to clarify concern or issue if required.</w:t>
            </w:r>
          </w:p>
        </w:tc>
      </w:tr>
      <w:tr w:rsidTr="00FC0E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3.3</w:t>
            </w:r>
          </w:p>
        </w:tc>
        <w:tc>
          <w:tcPr>
            <w:tcW w:w="561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Assist organisation or community representatives to interpret sustainability information.</w:t>
            </w:r>
          </w:p>
        </w:tc>
      </w:tr>
      <w:tr w:rsidTr="00FC0E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3.4</w:t>
            </w:r>
          </w:p>
        </w:tc>
        <w:tc>
          <w:tcPr>
            <w:tcW w:w="5610" w:type="dxa"/>
            <w:tcBorders>
              <w:top w:val="nil"/>
              <w:left w:val="nil"/>
              <w:bottom w:val="nil"/>
              <w:right w:val="nil"/>
            </w:tcBorders>
            <w:tcMar>
              <w:top w:w="0" w:type="dxa"/>
              <w:left w:w="62" w:type="dxa"/>
              <w:bottom w:w="0" w:type="dxa"/>
              <w:right w:w="62" w:type="dxa"/>
            </w:tcMar>
          </w:tcPr>
          <w:p w:rsidR="00000000" w:rsidRPr="00FC0E0F" w:rsidP="00FC0E0F">
            <w:pPr>
              <w:pStyle w:val="BodyText"/>
            </w:pPr>
            <w:r w:rsidRPr="00FC0E0F">
              <w:t>Assist representatives to develop and implement sustainability improvement strategies.</w:t>
            </w:r>
          </w:p>
        </w:tc>
      </w:tr>
    </w:tbl>
    <w:p w:rsidR="00000000" w:rsidRPr="00FC0E0F" w:rsidP="00FC0E0F">
      <w:pPr>
        <w:pStyle w:val="BodyText"/>
      </w:pPr>
    </w:p>
    <w:p w:rsidR="00000000" w:rsidRPr="00FC0E0F" w:rsidP="00FC0E0F">
      <w:pPr>
        <w:pStyle w:val="AllowPageBreak"/>
      </w:pPr>
    </w:p>
    <w:p w:rsidR="00000000" w:rsidRPr="00FC0E0F" w:rsidP="00FC0E0F">
      <w:pPr>
        <w:pStyle w:val="Heading1"/>
      </w:pPr>
      <w:bookmarkStart w:id="7" w:name="O_923251"/>
      <w:bookmarkEnd w:id="7"/>
      <w:r w:rsidRPr="00FC0E0F">
        <w:t>Foundation Skills</w:t>
      </w:r>
    </w:p>
    <w:p w:rsidR="00000000" w:rsidRPr="00FC0E0F" w:rsidP="00FC0E0F">
      <w:pPr>
        <w:pStyle w:val="BodyText"/>
      </w:pPr>
      <w:r w:rsidRPr="00FC0E0F">
        <w:t>This section describes those required skills (language, literacy and numeracy) that are essential to performance.</w:t>
      </w:r>
    </w:p>
    <w:p w:rsidR="00000000" w:rsidRPr="00FC0E0F" w:rsidP="00FC0E0F">
      <w:pPr>
        <w:pStyle w:val="BodyText"/>
      </w:pPr>
    </w:p>
    <w:p w:rsidR="00000000" w:rsidRPr="00FC0E0F" w:rsidP="00FC0E0F">
      <w:pPr>
        <w:pStyle w:val="BodyText"/>
      </w:pPr>
      <w:r w:rsidRPr="00FC0E0F">
        <w:t>Foundation skills</w:t>
      </w:r>
      <w:r w:rsidRPr="00FC0E0F">
        <w:t xml:space="preserve"> essential to performance are explicit in the performance criteria of this unit of competency.</w:t>
      </w:r>
    </w:p>
    <w:p w:rsidR="00000000" w:rsidRPr="00FC0E0F" w:rsidP="00FC0E0F">
      <w:pPr>
        <w:pStyle w:val="AllowPageBreak"/>
      </w:pPr>
    </w:p>
    <w:p w:rsidR="00000000" w:rsidRPr="00FC0E0F" w:rsidP="00FC0E0F">
      <w:pPr>
        <w:pStyle w:val="Heading1"/>
      </w:pPr>
      <w:bookmarkStart w:id="8" w:name="O_923250"/>
      <w:bookmarkEnd w:id="8"/>
      <w:r w:rsidRPr="00FC0E0F">
        <w:t>Range of Conditions</w:t>
      </w:r>
    </w:p>
    <w:tbl>
      <w:tblPr>
        <w:tblW w:w="0" w:type="auto"/>
        <w:tblLayout w:type="fixed"/>
        <w:tblCellMar>
          <w:left w:w="62" w:type="dxa"/>
          <w:right w:w="62" w:type="dxa"/>
        </w:tblCellMar>
        <w:tblLook w:val="0000"/>
      </w:tblPr>
      <w:tblGrid>
        <w:gridCol w:w="2234"/>
        <w:gridCol w:w="6838"/>
      </w:tblGrid>
      <w:tr w:rsidTr="00FC0E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t>This field allows for different work environments and conditions that may affect performance. Essential operating conditions</w:t>
            </w:r>
            <w:r w:rsidRPr="00FC0E0F">
              <w:t xml:space="preserve"> that may be present (depending on the work situation, needs of the candidate, accessibility of the item, and local industry and regional contexts) are included.</w:t>
            </w:r>
          </w:p>
        </w:tc>
      </w:tr>
      <w:tr w:rsidTr="00FC0E0F">
        <w:tblPrEx>
          <w:tblW w:w="0" w:type="auto"/>
          <w:tblLayout w:type="fixed"/>
          <w:tblCellMar>
            <w:left w:w="62" w:type="dxa"/>
            <w:right w:w="62" w:type="dxa"/>
          </w:tblCellMar>
          <w:tblLook w:val="0000"/>
        </w:tblPrEx>
        <w:tc>
          <w:tcPr>
            <w:tcW w:w="2234"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rPr>
                <w:rStyle w:val="SpecialBold"/>
              </w:rPr>
              <w:t>Organisation and community representatives include one or more of</w:t>
            </w:r>
          </w:p>
        </w:tc>
        <w:tc>
          <w:tcPr>
            <w:tcW w:w="6838" w:type="dxa"/>
            <w:tcBorders>
              <w:top w:val="nil"/>
              <w:left w:val="nil"/>
              <w:bottom w:val="nil"/>
              <w:right w:val="nil"/>
            </w:tcBorders>
            <w:tcMar>
              <w:top w:w="0" w:type="dxa"/>
              <w:left w:w="62" w:type="dxa"/>
              <w:bottom w:w="0" w:type="dxa"/>
              <w:right w:w="62" w:type="dxa"/>
            </w:tcMar>
          </w:tcPr>
          <w:p w:rsidR="00000000" w:rsidRPr="00FC0E0F" w:rsidP="00FC0E0F">
            <w:pPr>
              <w:pStyle w:val="ListBullet"/>
            </w:pPr>
            <w:r w:rsidRPr="00FC0E0F">
              <w:t>employees and managers in own organisation</w:t>
            </w:r>
          </w:p>
          <w:p w:rsidR="00000000" w:rsidRPr="00FC0E0F" w:rsidP="00FC0E0F">
            <w:pPr>
              <w:pStyle w:val="ListBullet"/>
            </w:pPr>
            <w:r w:rsidRPr="00FC0E0F">
              <w:t>suppliers</w:t>
            </w:r>
          </w:p>
          <w:p w:rsidR="00000000" w:rsidRPr="00FC0E0F" w:rsidP="00FC0E0F">
            <w:pPr>
              <w:pStyle w:val="ListBullet"/>
            </w:pPr>
            <w:r w:rsidRPr="00FC0E0F">
              <w:t>customers</w:t>
            </w:r>
          </w:p>
          <w:p w:rsidR="00000000" w:rsidRPr="00FC0E0F" w:rsidP="00FC0E0F">
            <w:pPr>
              <w:pStyle w:val="ListBullet"/>
            </w:pPr>
            <w:r w:rsidRPr="00FC0E0F">
              <w:t>other members of a value chain (e.g. logistics suppliers, professional support services, contractors, training providers)</w:t>
            </w:r>
          </w:p>
          <w:p w:rsidR="00000000" w:rsidRPr="00FC0E0F" w:rsidP="00FC0E0F">
            <w:pPr>
              <w:pStyle w:val="ListBullet"/>
            </w:pPr>
            <w:r w:rsidRPr="00FC0E0F">
              <w:t>local, regional and national community representatives.</w:t>
            </w:r>
          </w:p>
          <w:p w:rsidR="00000000" w:rsidP="00FC0E0F">
            <w:pPr>
              <w:pStyle w:val="BodyText"/>
              <w:rPr>
                <w:lang w:val="en-NZ"/>
              </w:rPr>
            </w:pPr>
          </w:p>
        </w:tc>
      </w:tr>
      <w:tr w:rsidTr="00FC0E0F">
        <w:tblPrEx>
          <w:tblW w:w="0" w:type="auto"/>
          <w:tblLayout w:type="fixed"/>
          <w:tblCellMar>
            <w:left w:w="62" w:type="dxa"/>
            <w:right w:w="62" w:type="dxa"/>
          </w:tblCellMar>
          <w:tblLook w:val="0000"/>
        </w:tblPrEx>
        <w:tc>
          <w:tcPr>
            <w:tcW w:w="2234"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rPr>
                <w:rStyle w:val="SpecialBold"/>
              </w:rPr>
              <w:t>Need for sust</w:t>
            </w:r>
            <w:r w:rsidRPr="00FC0E0F">
              <w:rPr>
                <w:rStyle w:val="SpecialBold"/>
              </w:rPr>
              <w:t>ainability information dissemination determined by means of one or more of</w:t>
            </w:r>
          </w:p>
        </w:tc>
        <w:tc>
          <w:tcPr>
            <w:tcW w:w="6838" w:type="dxa"/>
            <w:tcBorders>
              <w:top w:val="nil"/>
              <w:left w:val="nil"/>
              <w:bottom w:val="nil"/>
              <w:right w:val="nil"/>
            </w:tcBorders>
            <w:tcMar>
              <w:top w:w="0" w:type="dxa"/>
              <w:left w:w="62" w:type="dxa"/>
              <w:bottom w:w="0" w:type="dxa"/>
              <w:right w:w="62" w:type="dxa"/>
            </w:tcMar>
          </w:tcPr>
          <w:p w:rsidR="00000000" w:rsidRPr="00FC0E0F" w:rsidP="00FC0E0F">
            <w:pPr>
              <w:pStyle w:val="ListBullet"/>
            </w:pPr>
            <w:r w:rsidRPr="00FC0E0F">
              <w:t>discussions with organisation representatives</w:t>
            </w:r>
          </w:p>
          <w:p w:rsidR="00000000" w:rsidRPr="00FC0E0F" w:rsidP="00FC0E0F">
            <w:pPr>
              <w:pStyle w:val="ListBullet"/>
            </w:pPr>
            <w:r w:rsidRPr="00FC0E0F">
              <w:t>discussions with community representatives</w:t>
            </w:r>
          </w:p>
          <w:p w:rsidR="00000000" w:rsidRPr="00FC0E0F" w:rsidP="00FC0E0F">
            <w:pPr>
              <w:pStyle w:val="ListBullet"/>
            </w:pPr>
            <w:r w:rsidRPr="00FC0E0F">
              <w:t>examination of current and past requests for information.</w:t>
            </w:r>
          </w:p>
          <w:p w:rsidR="00000000" w:rsidP="00FC0E0F">
            <w:pPr>
              <w:pStyle w:val="BodyText"/>
              <w:rPr>
                <w:lang w:val="en-NZ"/>
              </w:rPr>
            </w:pPr>
          </w:p>
        </w:tc>
      </w:tr>
      <w:tr w:rsidTr="00FC0E0F">
        <w:tblPrEx>
          <w:tblW w:w="0" w:type="auto"/>
          <w:tblLayout w:type="fixed"/>
          <w:tblCellMar>
            <w:left w:w="62" w:type="dxa"/>
            <w:right w:w="62" w:type="dxa"/>
          </w:tblCellMar>
          <w:tblLook w:val="0000"/>
        </w:tblPrEx>
        <w:tc>
          <w:tcPr>
            <w:tcW w:w="2234"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rPr>
                <w:rStyle w:val="SpecialBold"/>
              </w:rPr>
              <w:t xml:space="preserve">Information covered by special </w:t>
            </w:r>
            <w:r w:rsidRPr="00FC0E0F">
              <w:rPr>
                <w:rStyle w:val="SpecialBold"/>
              </w:rPr>
              <w:t xml:space="preserve">provisions includes one or more of </w:t>
            </w:r>
          </w:p>
        </w:tc>
        <w:tc>
          <w:tcPr>
            <w:tcW w:w="6838" w:type="dxa"/>
            <w:tcBorders>
              <w:top w:val="nil"/>
              <w:left w:val="nil"/>
              <w:bottom w:val="nil"/>
              <w:right w:val="nil"/>
            </w:tcBorders>
            <w:tcMar>
              <w:top w:w="0" w:type="dxa"/>
              <w:left w:w="62" w:type="dxa"/>
              <w:bottom w:w="0" w:type="dxa"/>
              <w:right w:w="62" w:type="dxa"/>
            </w:tcMar>
          </w:tcPr>
          <w:p w:rsidR="00000000" w:rsidRPr="00FC0E0F" w:rsidP="00FC0E0F">
            <w:pPr>
              <w:pStyle w:val="ListBullet"/>
            </w:pPr>
            <w:r w:rsidRPr="00FC0E0F">
              <w:t xml:space="preserve">information required to be released under Acts or regulations </w:t>
            </w:r>
          </w:p>
          <w:p w:rsidR="00000000" w:rsidRPr="00FC0E0F" w:rsidP="00FC0E0F">
            <w:pPr>
              <w:pStyle w:val="ListBullet"/>
            </w:pPr>
            <w:r w:rsidRPr="00FC0E0F">
              <w:t>information required under supplier or customer contracts</w:t>
            </w:r>
          </w:p>
          <w:p w:rsidR="00000000" w:rsidRPr="00FC0E0F" w:rsidP="00FC0E0F">
            <w:pPr>
              <w:pStyle w:val="ListBullet"/>
            </w:pPr>
            <w:r w:rsidRPr="00FC0E0F">
              <w:t>industry codes, covenants and standards</w:t>
            </w:r>
          </w:p>
          <w:p w:rsidR="00000000" w:rsidRPr="00FC0E0F" w:rsidP="00FC0E0F">
            <w:pPr>
              <w:pStyle w:val="ListBullet"/>
            </w:pPr>
            <w:r w:rsidRPr="00FC0E0F">
              <w:t>commercial in confidence information</w:t>
            </w:r>
          </w:p>
          <w:p w:rsidR="00000000" w:rsidRPr="00FC0E0F" w:rsidP="00FC0E0F">
            <w:pPr>
              <w:pStyle w:val="ListBullet"/>
            </w:pPr>
            <w:r w:rsidRPr="00FC0E0F">
              <w:t>information requiring special clearances before release.</w:t>
            </w:r>
          </w:p>
          <w:p w:rsidR="00000000" w:rsidP="00FC0E0F">
            <w:pPr>
              <w:pStyle w:val="BodyText"/>
              <w:rPr>
                <w:lang w:val="en-NZ"/>
              </w:rPr>
            </w:pPr>
          </w:p>
        </w:tc>
      </w:tr>
      <w:tr w:rsidTr="00FC0E0F">
        <w:tblPrEx>
          <w:tblW w:w="0" w:type="auto"/>
          <w:tblLayout w:type="fixed"/>
          <w:tblCellMar>
            <w:left w:w="62" w:type="dxa"/>
            <w:right w:w="62" w:type="dxa"/>
          </w:tblCellMar>
          <w:tblLook w:val="0000"/>
        </w:tblPrEx>
        <w:tc>
          <w:tcPr>
            <w:tcW w:w="2234" w:type="dxa"/>
            <w:tcBorders>
              <w:top w:val="nil"/>
              <w:left w:val="nil"/>
              <w:bottom w:val="nil"/>
              <w:right w:val="nil"/>
            </w:tcBorders>
            <w:tcMar>
              <w:top w:w="0" w:type="dxa"/>
              <w:left w:w="62" w:type="dxa"/>
              <w:bottom w:w="0" w:type="dxa"/>
              <w:right w:w="62" w:type="dxa"/>
            </w:tcMar>
          </w:tcPr>
          <w:p w:rsidR="00000000" w:rsidP="00FC0E0F">
            <w:pPr>
              <w:pStyle w:val="BodyText"/>
              <w:rPr>
                <w:lang w:val="en-NZ"/>
              </w:rPr>
            </w:pPr>
            <w:r w:rsidRPr="00FC0E0F">
              <w:rPr>
                <w:rStyle w:val="SpecialBold"/>
              </w:rPr>
              <w:t>Sustainability related information and concepts include one or more of</w:t>
            </w:r>
          </w:p>
        </w:tc>
        <w:tc>
          <w:tcPr>
            <w:tcW w:w="6838" w:type="dxa"/>
            <w:tcBorders>
              <w:top w:val="nil"/>
              <w:left w:val="nil"/>
              <w:bottom w:val="nil"/>
              <w:right w:val="nil"/>
            </w:tcBorders>
            <w:tcMar>
              <w:top w:w="0" w:type="dxa"/>
              <w:left w:w="62" w:type="dxa"/>
              <w:bottom w:w="0" w:type="dxa"/>
              <w:right w:w="62" w:type="dxa"/>
            </w:tcMar>
          </w:tcPr>
          <w:p w:rsidR="00000000" w:rsidRPr="00FC0E0F" w:rsidP="00FC0E0F">
            <w:pPr>
              <w:pStyle w:val="ListBullet"/>
            </w:pPr>
            <w:r w:rsidRPr="00FC0E0F">
              <w:t>definitions of sustainable development</w:t>
            </w:r>
          </w:p>
          <w:p w:rsidR="00000000" w:rsidRPr="00FC0E0F" w:rsidP="00FC0E0F">
            <w:pPr>
              <w:pStyle w:val="ListBullet"/>
            </w:pPr>
            <w:r w:rsidRPr="00FC0E0F">
              <w:t>sustainability related philosophical concepts (e.g. precautionary principle, intra- an</w:t>
            </w:r>
            <w:r w:rsidRPr="00FC0E0F">
              <w:t>d inter-generational equity, inter-regional and inter-country equity)</w:t>
            </w:r>
          </w:p>
          <w:p w:rsidR="00000000" w:rsidRPr="00FC0E0F" w:rsidP="00FC0E0F">
            <w:pPr>
              <w:pStyle w:val="ListBullet"/>
            </w:pPr>
            <w:r w:rsidRPr="00FC0E0F">
              <w:t xml:space="preserve">air, water and soil contamination </w:t>
            </w:r>
          </w:p>
          <w:p w:rsidR="00000000" w:rsidRPr="00FC0E0F" w:rsidP="00FC0E0F">
            <w:pPr>
              <w:pStyle w:val="ListBullet"/>
            </w:pPr>
            <w:r w:rsidRPr="00FC0E0F">
              <w:t xml:space="preserve">energy use and conservation  </w:t>
            </w:r>
          </w:p>
          <w:p w:rsidR="00000000" w:rsidRPr="00FC0E0F" w:rsidP="00FC0E0F">
            <w:pPr>
              <w:pStyle w:val="ListBullet"/>
            </w:pPr>
            <w:r w:rsidRPr="00FC0E0F">
              <w:t>climate change, including greenhouse gases</w:t>
            </w:r>
          </w:p>
          <w:p w:rsidR="00000000" w:rsidRPr="00FC0E0F" w:rsidP="00FC0E0F">
            <w:pPr>
              <w:pStyle w:val="ListBullet"/>
            </w:pPr>
            <w:r w:rsidRPr="00FC0E0F">
              <w:t>overpopulation relative to food supply</w:t>
            </w:r>
          </w:p>
          <w:p w:rsidR="00000000" w:rsidRPr="00FC0E0F" w:rsidP="00FC0E0F">
            <w:pPr>
              <w:pStyle w:val="ListBullet"/>
            </w:pPr>
            <w:r w:rsidRPr="00FC0E0F">
              <w:t>effects of uneven population distributi</w:t>
            </w:r>
            <w:r w:rsidRPr="00FC0E0F">
              <w:t>on</w:t>
            </w:r>
          </w:p>
          <w:p w:rsidR="00000000" w:rsidRPr="00FC0E0F" w:rsidP="00FC0E0F">
            <w:pPr>
              <w:pStyle w:val="ListBullet"/>
            </w:pPr>
            <w:r w:rsidRPr="00FC0E0F">
              <w:t>distinction between renewable and non-renewable resources</w:t>
            </w:r>
          </w:p>
          <w:p w:rsidR="00000000" w:rsidRPr="00FC0E0F" w:rsidP="00FC0E0F">
            <w:pPr>
              <w:pStyle w:val="ListBullet"/>
            </w:pPr>
            <w:r w:rsidRPr="00FC0E0F">
              <w:t>resource footprint</w:t>
            </w:r>
          </w:p>
          <w:p w:rsidR="00000000" w:rsidRPr="00FC0E0F" w:rsidP="00FC0E0F">
            <w:pPr>
              <w:pStyle w:val="ListBullet"/>
            </w:pPr>
            <w:r w:rsidRPr="00FC0E0F">
              <w:t>consumption of resources (e.g. reasons for use in the value chain, rate of use, impact on environment and ecology at both local and global level, alternative resources, efficiency of extraction and use of resources)</w:t>
            </w:r>
          </w:p>
          <w:p w:rsidR="00000000" w:rsidRPr="00FC0E0F" w:rsidP="00FC0E0F">
            <w:pPr>
              <w:pStyle w:val="ListBullet"/>
            </w:pPr>
            <w:r w:rsidRPr="00FC0E0F">
              <w:t>concepts of carbon accounting and carbon</w:t>
            </w:r>
            <w:r w:rsidRPr="00FC0E0F">
              <w:t xml:space="preserve"> equivalence in resource consumption </w:t>
            </w:r>
          </w:p>
          <w:p w:rsidR="00000000" w:rsidRPr="00FC0E0F" w:rsidP="00FC0E0F">
            <w:pPr>
              <w:pStyle w:val="ListBullet"/>
            </w:pPr>
            <w:r w:rsidRPr="00FC0E0F">
              <w:t xml:space="preserve">generation and disposal of solid and liquid waste </w:t>
            </w:r>
          </w:p>
          <w:p w:rsidR="00000000" w:rsidRPr="00FC0E0F" w:rsidP="00FC0E0F">
            <w:pPr>
              <w:pStyle w:val="ListBullet"/>
            </w:pPr>
            <w:r w:rsidRPr="00FC0E0F">
              <w:t>conservation of biological and ecological diversity</w:t>
            </w:r>
          </w:p>
          <w:p w:rsidR="00000000" w:rsidRPr="00FC0E0F" w:rsidP="00FC0E0F">
            <w:pPr>
              <w:pStyle w:val="ListBullet"/>
            </w:pPr>
            <w:r w:rsidRPr="00FC0E0F">
              <w:t>community and government expectations on use of technology</w:t>
            </w:r>
          </w:p>
          <w:p w:rsidR="00000000" w:rsidRPr="00FC0E0F" w:rsidP="00FC0E0F">
            <w:pPr>
              <w:pStyle w:val="ListBullet"/>
            </w:pPr>
            <w:r w:rsidRPr="00FC0E0F">
              <w:t>environmental and sustainability related legislation and</w:t>
            </w:r>
            <w:r w:rsidRPr="00FC0E0F">
              <w:t xml:space="preserve"> regulations, </w:t>
            </w:r>
          </w:p>
          <w:p w:rsidR="00000000" w:rsidRPr="00FC0E0F" w:rsidP="00FC0E0F">
            <w:pPr>
              <w:pStyle w:val="ListBullet"/>
            </w:pPr>
            <w:r w:rsidRPr="00FC0E0F">
              <w:t>inclusion of sustainability and environmental values in cost structures</w:t>
            </w:r>
          </w:p>
          <w:p w:rsidR="00000000" w:rsidRPr="00FC0E0F" w:rsidP="00FC0E0F">
            <w:pPr>
              <w:pStyle w:val="ListBullet"/>
            </w:pPr>
            <w:r w:rsidRPr="00FC0E0F">
              <w:t>general sustainability issues.</w:t>
            </w:r>
          </w:p>
          <w:p w:rsidR="00000000" w:rsidRPr="00FC0E0F" w:rsidP="00FC0E0F">
            <w:pPr>
              <w:pStyle w:val="BodyText"/>
            </w:pPr>
          </w:p>
        </w:tc>
      </w:tr>
    </w:tbl>
    <w:p w:rsidR="00000000" w:rsidRPr="00FC0E0F" w:rsidP="00FC0E0F">
      <w:pPr>
        <w:pStyle w:val="BodyText"/>
      </w:pPr>
    </w:p>
    <w:p w:rsidR="00000000" w:rsidRPr="00FC0E0F" w:rsidP="00FC0E0F">
      <w:pPr>
        <w:pStyle w:val="AllowPageBreak"/>
      </w:pPr>
    </w:p>
    <w:p w:rsidR="00000000" w:rsidRPr="00FC0E0F" w:rsidP="00FC0E0F">
      <w:pPr>
        <w:pStyle w:val="Heading1"/>
      </w:pPr>
      <w:bookmarkStart w:id="9" w:name="O_923249"/>
      <w:bookmarkEnd w:id="9"/>
      <w:r w:rsidRPr="00FC0E0F">
        <w:t>Unit Mapping Information</w:t>
      </w:r>
    </w:p>
    <w:p w:rsidR="00000000" w:rsidRPr="00FC0E0F" w:rsidP="00FC0E0F">
      <w:pPr>
        <w:pStyle w:val="BodyText"/>
      </w:pPr>
      <w:r w:rsidRPr="00FC0E0F">
        <w:t xml:space="preserve">Release 1. Supersedes and is equivalent to </w:t>
      </w:r>
      <w:r w:rsidRPr="00FC0E0F">
        <w:t xml:space="preserve">MSS015018A Inform and educate organisation and community representatives on sustainability issues. </w:t>
      </w:r>
    </w:p>
    <w:p w:rsidR="00000000" w:rsidRPr="00FC0E0F" w:rsidP="00FC0E0F">
      <w:pPr>
        <w:pStyle w:val="AllowPageBreak"/>
      </w:pPr>
    </w:p>
    <w:p w:rsidR="00000000" w:rsidRPr="00FC0E0F" w:rsidP="00FC0E0F">
      <w:pPr>
        <w:pStyle w:val="Heading1"/>
      </w:pPr>
      <w:bookmarkStart w:id="10" w:name="O_923242"/>
      <w:bookmarkEnd w:id="10"/>
      <w:r w:rsidRPr="00FC0E0F">
        <w:t>Links</w:t>
      </w:r>
    </w:p>
    <w:p w:rsidR="00000000" w:rsidRPr="00FC0E0F" w:rsidP="00FC0E0F">
      <w:pPr>
        <w:pStyle w:val="BodyText"/>
      </w:pPr>
      <w:r w:rsidRPr="00FC0E0F">
        <w:t>MSA Training Package Implementation Guides - http://mskills.org.au/training-packages/info/</w:t>
      </w:r>
    </w:p>
    <w:p w:rsidR="00000000" w:rsidRPr="00FC0E0F" w:rsidP="00FC0E0F"/>
    <w:sectPr w:rsidSect="00FC0E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0F" w:rsidRPr="002A059D" w:rsidP="002A05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9D" w:rsidP="00FC0E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A059D" w:rsidP="00FC0E0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A059D" w:rsidP="00FC0E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0F" w:rsidRPr="002A059D" w:rsidP="002A05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9D" w:rsidRPr="002D2AF8" w:rsidP="00FC0E0F">
    <w:pPr>
      <w:pStyle w:val="Header"/>
      <w:framePr w:wrap="around"/>
    </w:pPr>
    <w:r>
      <w:fldChar w:fldCharType="begin"/>
    </w:r>
    <w:r>
      <w:instrText xml:space="preserve"> TITLE   \* MERGEFORMAT </w:instrText>
    </w:r>
    <w:r>
      <w:fldChar w:fldCharType="separate"/>
    </w:r>
    <w:r>
      <w:t>MSS015018 Inform and educate organisation and community representatives on sustainability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2A059D" w:rsidP="00FC0E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8CD7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8030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E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0E0F"/>
    <w:pPr>
      <w:spacing w:before="360" w:after="60"/>
      <w:outlineLvl w:val="0"/>
    </w:pPr>
    <w:rPr>
      <w:sz w:val="32"/>
    </w:rPr>
  </w:style>
  <w:style w:type="paragraph" w:styleId="Heading2">
    <w:name w:val="heading 2"/>
    <w:basedOn w:val="HeadingBase"/>
    <w:next w:val="BodyText"/>
    <w:link w:val="Heading2Char"/>
    <w:qFormat/>
    <w:rsid w:val="00FC0E0F"/>
    <w:pPr>
      <w:keepLines/>
      <w:spacing w:before="240" w:after="120"/>
      <w:outlineLvl w:val="1"/>
    </w:pPr>
    <w:rPr>
      <w:sz w:val="28"/>
      <w:szCs w:val="40"/>
    </w:rPr>
  </w:style>
  <w:style w:type="paragraph" w:styleId="Heading3">
    <w:name w:val="heading 3"/>
    <w:basedOn w:val="HeadingBase"/>
    <w:next w:val="BodyText"/>
    <w:link w:val="Heading3Char"/>
    <w:qFormat/>
    <w:rsid w:val="00FC0E0F"/>
    <w:pPr>
      <w:spacing w:before="180" w:after="120"/>
      <w:outlineLvl w:val="2"/>
    </w:pPr>
    <w:rPr>
      <w:spacing w:val="-10"/>
      <w:kern w:val="32"/>
    </w:rPr>
  </w:style>
  <w:style w:type="paragraph" w:styleId="Heading4">
    <w:name w:val="heading 4"/>
    <w:basedOn w:val="HeadingBase"/>
    <w:next w:val="BodyText"/>
    <w:link w:val="Heading4Char"/>
    <w:qFormat/>
    <w:rsid w:val="00FC0E0F"/>
    <w:pPr>
      <w:spacing w:before="160" w:after="120"/>
      <w:outlineLvl w:val="3"/>
    </w:pPr>
    <w:rPr>
      <w:sz w:val="22"/>
    </w:rPr>
  </w:style>
  <w:style w:type="paragraph" w:styleId="Heading5">
    <w:name w:val="heading 5"/>
    <w:basedOn w:val="HeadingBase"/>
    <w:next w:val="Normal"/>
    <w:link w:val="Heading5Char"/>
    <w:qFormat/>
    <w:rsid w:val="00FC0E0F"/>
    <w:pPr>
      <w:spacing w:before="80"/>
      <w:outlineLvl w:val="4"/>
    </w:pPr>
    <w:rPr>
      <w:color w:val="918585"/>
      <w:sz w:val="20"/>
    </w:rPr>
  </w:style>
  <w:style w:type="paragraph" w:styleId="Heading6">
    <w:name w:val="heading 6"/>
    <w:basedOn w:val="HeadingBase"/>
    <w:next w:val="Normal"/>
    <w:link w:val="Heading6Char"/>
    <w:qFormat/>
    <w:rsid w:val="00FC0E0F"/>
    <w:pPr>
      <w:spacing w:before="60"/>
      <w:outlineLvl w:val="5"/>
    </w:pPr>
    <w:rPr>
      <w:color w:val="918585"/>
      <w:sz w:val="20"/>
    </w:rPr>
  </w:style>
  <w:style w:type="paragraph" w:styleId="Heading7">
    <w:name w:val="heading 7"/>
    <w:basedOn w:val="Normal"/>
    <w:next w:val="Normal"/>
    <w:link w:val="Heading7Char"/>
    <w:qFormat/>
    <w:rsid w:val="00FC0E0F"/>
    <w:pPr>
      <w:ind w:left="720"/>
      <w:outlineLvl w:val="6"/>
    </w:pPr>
    <w:rPr>
      <w:i/>
    </w:rPr>
  </w:style>
  <w:style w:type="paragraph" w:styleId="Heading8">
    <w:name w:val="heading 8"/>
    <w:basedOn w:val="Normal"/>
    <w:next w:val="Normal"/>
    <w:link w:val="Heading8Char"/>
    <w:qFormat/>
    <w:rsid w:val="00FC0E0F"/>
    <w:pPr>
      <w:ind w:left="720"/>
      <w:outlineLvl w:val="7"/>
    </w:pPr>
    <w:rPr>
      <w:i/>
    </w:rPr>
  </w:style>
  <w:style w:type="paragraph" w:styleId="Heading9">
    <w:name w:val="heading 9"/>
    <w:basedOn w:val="Normal"/>
    <w:next w:val="Normal"/>
    <w:link w:val="Heading9Char"/>
    <w:qFormat/>
    <w:rsid w:val="00FC0E0F"/>
    <w:pPr>
      <w:ind w:left="720"/>
      <w:outlineLvl w:val="8"/>
    </w:pPr>
    <w:rPr>
      <w:i/>
    </w:rPr>
  </w:style>
  <w:style w:type="character" w:default="1" w:styleId="DefaultParagraphFont">
    <w:name w:val="Default Paragraph Font"/>
    <w:uiPriority w:val="1"/>
    <w:unhideWhenUsed/>
    <w:rsid w:val="00FC0E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E0F"/>
  </w:style>
  <w:style w:type="character" w:customStyle="1" w:styleId="Heading1Char">
    <w:name w:val="Heading 1 Char"/>
    <w:basedOn w:val="DefaultParagraphFont"/>
    <w:link w:val="Heading1"/>
    <w:rsid w:val="00FC0E0F"/>
    <w:rPr>
      <w:rFonts w:ascii="Times New Roman" w:eastAsia="Times New Roman" w:hAnsi="Times New Roman" w:cs="Times New Roman"/>
      <w:b/>
      <w:sz w:val="32"/>
      <w:szCs w:val="20"/>
      <w:lang w:eastAsia="en-US"/>
    </w:rPr>
  </w:style>
  <w:style w:type="paragraph" w:styleId="BodyText">
    <w:name w:val="Body Text"/>
    <w:basedOn w:val="Normal"/>
    <w:link w:val="BodyTextChar"/>
    <w:rsid w:val="00FC0E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0E0F"/>
    <w:rPr>
      <w:rFonts w:ascii="Times New Roman" w:eastAsia="Times New Roman" w:hAnsi="Times New Roman" w:cs="Times New Roman"/>
      <w:sz w:val="24"/>
      <w:lang w:eastAsia="en-US"/>
    </w:rPr>
  </w:style>
  <w:style w:type="paragraph" w:styleId="ListBullet">
    <w:name w:val="List Bullet"/>
    <w:basedOn w:val="List"/>
    <w:rsid w:val="00FC0E0F"/>
    <w:pPr>
      <w:numPr>
        <w:numId w:val="12"/>
      </w:numPr>
      <w:tabs>
        <w:tab w:val="clear" w:pos="340"/>
      </w:tabs>
      <w:spacing w:before="40" w:after="40"/>
    </w:pPr>
  </w:style>
  <w:style w:type="character" w:customStyle="1" w:styleId="SpecialBold">
    <w:name w:val="Special Bold"/>
    <w:basedOn w:val="DefaultParagraphFont"/>
    <w:rsid w:val="00FC0E0F"/>
    <w:rPr>
      <w:b/>
      <w:spacing w:val="0"/>
    </w:rPr>
  </w:style>
  <w:style w:type="paragraph" w:customStyle="1" w:styleId="SuperHeading">
    <w:name w:val="SuperHeading"/>
    <w:basedOn w:val="Normal"/>
    <w:rsid w:val="00FC0E0F"/>
    <w:pPr>
      <w:spacing w:before="240" w:after="120"/>
      <w:outlineLvl w:val="0"/>
    </w:pPr>
    <w:rPr>
      <w:rFonts w:ascii="Times New Roman" w:hAnsi="Times New Roman"/>
      <w:b/>
      <w:sz w:val="32"/>
    </w:rPr>
  </w:style>
  <w:style w:type="paragraph" w:customStyle="1" w:styleId="AllowPageBreak">
    <w:name w:val="AllowPageBreak"/>
    <w:rsid w:val="00FC0E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0E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E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E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E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E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E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0E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0E0F"/>
    <w:rPr>
      <w:rFonts w:ascii="Courier New" w:eastAsia="Times New Roman" w:hAnsi="Courier New" w:cs="Times New Roman"/>
      <w:i/>
      <w:szCs w:val="20"/>
      <w:lang w:eastAsia="en-US"/>
    </w:rPr>
  </w:style>
  <w:style w:type="paragraph" w:customStyle="1" w:styleId="HeadingBase">
    <w:name w:val="Heading Base"/>
    <w:rsid w:val="00FC0E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E0F"/>
    <w:pPr>
      <w:tabs>
        <w:tab w:val="right" w:leader="dot" w:pos="9072"/>
      </w:tabs>
      <w:ind w:left="567"/>
    </w:pPr>
    <w:rPr>
      <w:szCs w:val="22"/>
    </w:rPr>
  </w:style>
  <w:style w:type="paragraph" w:customStyle="1" w:styleId="TOCBase">
    <w:name w:val="TOC Base"/>
    <w:rsid w:val="00FC0E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E0F"/>
    <w:pPr>
      <w:tabs>
        <w:tab w:val="right" w:leader="dot" w:pos="9072"/>
      </w:tabs>
      <w:spacing w:before="40" w:after="40"/>
      <w:ind w:left="284"/>
    </w:pPr>
    <w:rPr>
      <w:rFonts w:ascii="Times New Roman" w:hAnsi="Times New Roman"/>
    </w:rPr>
  </w:style>
  <w:style w:type="paragraph" w:styleId="TOC1">
    <w:name w:val="toc 1"/>
    <w:basedOn w:val="TOCBase"/>
    <w:next w:val="Normal"/>
    <w:rsid w:val="00FC0E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0E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E0F"/>
    <w:rPr>
      <w:rFonts w:ascii="Times New Roman" w:eastAsia="Times New Roman" w:hAnsi="Times New Roman" w:cs="Times New Roman"/>
      <w:sz w:val="16"/>
      <w:lang w:eastAsia="en-US"/>
    </w:rPr>
  </w:style>
  <w:style w:type="paragraph" w:styleId="Title">
    <w:name w:val="Title"/>
    <w:basedOn w:val="HeadingBase"/>
    <w:link w:val="TitleChar"/>
    <w:qFormat/>
    <w:rsid w:val="00FC0E0F"/>
    <w:pPr>
      <w:spacing w:before="5040"/>
      <w:jc w:val="center"/>
    </w:pPr>
    <w:rPr>
      <w:sz w:val="48"/>
      <w:szCs w:val="72"/>
      <w:lang w:val="en-US"/>
    </w:rPr>
  </w:style>
  <w:style w:type="character" w:customStyle="1" w:styleId="TitleChar">
    <w:name w:val="Title Char"/>
    <w:basedOn w:val="DefaultParagraphFont"/>
    <w:link w:val="Title"/>
    <w:rsid w:val="00FC0E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E0F"/>
    <w:pPr>
      <w:tabs>
        <w:tab w:val="left" w:pos="3600"/>
        <w:tab w:val="left" w:pos="3958"/>
      </w:tabs>
    </w:pPr>
  </w:style>
  <w:style w:type="paragraph" w:styleId="List">
    <w:name w:val="List"/>
    <w:basedOn w:val="BodyText"/>
    <w:next w:val="BodyText"/>
    <w:rsid w:val="00FC0E0F"/>
    <w:pPr>
      <w:tabs>
        <w:tab w:val="left" w:pos="340"/>
      </w:tabs>
      <w:spacing w:before="60" w:after="60"/>
      <w:ind w:left="340" w:hanging="340"/>
    </w:pPr>
  </w:style>
  <w:style w:type="paragraph" w:customStyle="1" w:styleId="Note">
    <w:name w:val="Note"/>
    <w:basedOn w:val="BodyText"/>
    <w:rsid w:val="00FC0E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E0F"/>
    <w:pPr>
      <w:framePr w:wrap="auto" w:hAnchor="text" w:y="6049"/>
    </w:pPr>
    <w:rPr>
      <w:color w:val="000000"/>
      <w:sz w:val="40"/>
    </w:rPr>
  </w:style>
  <w:style w:type="paragraph" w:customStyle="1" w:styleId="TOCTitle">
    <w:name w:val="TOCTitle"/>
    <w:basedOn w:val="Heading1"/>
    <w:rsid w:val="00FC0E0F"/>
    <w:pPr>
      <w:spacing w:after="240"/>
      <w:jc w:val="center"/>
      <w:outlineLvl w:val="9"/>
    </w:pPr>
    <w:rPr>
      <w:caps/>
    </w:rPr>
  </w:style>
  <w:style w:type="paragraph" w:customStyle="1" w:styleId="Version">
    <w:name w:val="Version"/>
    <w:rsid w:val="00FC0E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0E0F"/>
    <w:pPr>
      <w:numPr>
        <w:numId w:val="13"/>
      </w:numPr>
      <w:tabs>
        <w:tab w:val="clear" w:pos="680"/>
      </w:tabs>
    </w:pPr>
  </w:style>
  <w:style w:type="paragraph" w:styleId="Index1">
    <w:name w:val="index 1"/>
    <w:basedOn w:val="Normal"/>
    <w:next w:val="Normal"/>
    <w:semiHidden/>
    <w:rsid w:val="00FC0E0F"/>
    <w:pPr>
      <w:keepNext w:val="0"/>
      <w:tabs>
        <w:tab w:val="right" w:pos="4176"/>
      </w:tabs>
      <w:ind w:left="198" w:hanging="198"/>
    </w:pPr>
    <w:rPr>
      <w:rFonts w:ascii="Garamond" w:hAnsi="Garamond"/>
    </w:rPr>
  </w:style>
  <w:style w:type="paragraph" w:styleId="IndexHeading">
    <w:name w:val="index heading"/>
    <w:basedOn w:val="Normal"/>
    <w:next w:val="Index1"/>
    <w:semiHidden/>
    <w:rsid w:val="00FC0E0F"/>
    <w:pPr>
      <w:spacing w:before="120" w:after="120"/>
    </w:pPr>
    <w:rPr>
      <w:rFonts w:ascii="Arial" w:hAnsi="Arial"/>
      <w:b/>
      <w:color w:val="918585"/>
      <w:sz w:val="24"/>
    </w:rPr>
  </w:style>
  <w:style w:type="paragraph" w:styleId="Header">
    <w:name w:val="header"/>
    <w:basedOn w:val="Normal"/>
    <w:link w:val="HeaderChar"/>
    <w:rsid w:val="00FC0E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E0F"/>
    <w:rPr>
      <w:rFonts w:ascii="Times New Roman" w:eastAsia="Times New Roman" w:hAnsi="Times New Roman" w:cs="Times New Roman"/>
      <w:sz w:val="16"/>
      <w:szCs w:val="20"/>
      <w:lang w:val="en-GB" w:eastAsia="en-US"/>
    </w:rPr>
  </w:style>
  <w:style w:type="paragraph" w:customStyle="1" w:styleId="Chapter">
    <w:name w:val="Chapter"/>
    <w:basedOn w:val="Normal"/>
    <w:rsid w:val="00FC0E0F"/>
    <w:pPr>
      <w:spacing w:before="240"/>
    </w:pPr>
    <w:rPr>
      <w:rFonts w:ascii="Times New Roman" w:hAnsi="Times New Roman"/>
      <w:smallCaps/>
      <w:spacing w:val="80"/>
      <w:sz w:val="28"/>
    </w:rPr>
  </w:style>
  <w:style w:type="paragraph" w:customStyle="1" w:styleId="InChapter">
    <w:name w:val="InChapter"/>
    <w:basedOn w:val="Heading3"/>
    <w:rsid w:val="00FC0E0F"/>
    <w:pPr>
      <w:spacing w:after="240"/>
      <w:outlineLvl w:val="9"/>
    </w:pPr>
    <w:rPr>
      <w:noProof/>
    </w:rPr>
  </w:style>
  <w:style w:type="paragraph" w:styleId="Index2">
    <w:name w:val="index 2"/>
    <w:basedOn w:val="Normal"/>
    <w:next w:val="Normal"/>
    <w:semiHidden/>
    <w:rsid w:val="00FC0E0F"/>
    <w:pPr>
      <w:tabs>
        <w:tab w:val="right" w:pos="4176"/>
      </w:tabs>
      <w:ind w:left="568" w:hanging="284"/>
    </w:pPr>
    <w:rPr>
      <w:rFonts w:ascii="Garamond" w:hAnsi="Garamond"/>
    </w:rPr>
  </w:style>
  <w:style w:type="paragraph" w:customStyle="1" w:styleId="Byline">
    <w:name w:val="Byline"/>
    <w:rsid w:val="00FC0E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E0F"/>
    <w:pPr>
      <w:tabs>
        <w:tab w:val="clear" w:pos="3600"/>
        <w:tab w:val="clear" w:pos="3958"/>
      </w:tabs>
      <w:jc w:val="right"/>
    </w:pPr>
  </w:style>
  <w:style w:type="character" w:styleId="Emphasis">
    <w:name w:val="Emphasis"/>
    <w:basedOn w:val="DefaultParagraphFont"/>
    <w:qFormat/>
    <w:rsid w:val="00FC0E0F"/>
    <w:rPr>
      <w:i/>
    </w:rPr>
  </w:style>
  <w:style w:type="paragraph" w:styleId="Caption">
    <w:name w:val="caption"/>
    <w:basedOn w:val="BodyText"/>
    <w:next w:val="Normal"/>
    <w:qFormat/>
    <w:rsid w:val="00FC0E0F"/>
    <w:pPr>
      <w:framePr w:w="2268" w:hSpace="181" w:vSpace="181" w:wrap="around" w:vAnchor="text" w:hAnchor="page" w:x="1135" w:y="285" w:anchorLock="1"/>
    </w:pPr>
    <w:rPr>
      <w:i/>
    </w:rPr>
  </w:style>
  <w:style w:type="paragraph" w:customStyle="1" w:styleId="MiniTOCTitle">
    <w:name w:val="MiniTOCTitle"/>
    <w:basedOn w:val="Heading4"/>
    <w:rsid w:val="00FC0E0F"/>
    <w:pPr>
      <w:spacing w:before="240"/>
      <w:outlineLvl w:val="9"/>
    </w:pPr>
    <w:rPr>
      <w:noProof/>
      <w:sz w:val="24"/>
    </w:rPr>
  </w:style>
  <w:style w:type="paragraph" w:customStyle="1" w:styleId="MiniTOCItem">
    <w:name w:val="MiniTOCItem"/>
    <w:basedOn w:val="ListBullet"/>
    <w:rsid w:val="00FC0E0F"/>
    <w:pPr>
      <w:numPr>
        <w:numId w:val="0"/>
      </w:numPr>
      <w:tabs>
        <w:tab w:val="right" w:leader="dot" w:pos="6521"/>
      </w:tabs>
      <w:spacing w:before="0" w:after="0"/>
    </w:pPr>
  </w:style>
  <w:style w:type="paragraph" w:customStyle="1" w:styleId="TOFTitle">
    <w:name w:val="TOFTitle"/>
    <w:basedOn w:val="TOCTitle"/>
    <w:rsid w:val="00FC0E0F"/>
  </w:style>
  <w:style w:type="paragraph" w:styleId="TableofFigures">
    <w:name w:val="table of figures"/>
    <w:basedOn w:val="Normal"/>
    <w:next w:val="Normal"/>
    <w:semiHidden/>
    <w:rsid w:val="00FC0E0F"/>
    <w:pPr>
      <w:tabs>
        <w:tab w:val="right" w:leader="dot" w:pos="9072"/>
      </w:tabs>
      <w:ind w:left="970" w:hanging="403"/>
    </w:pPr>
    <w:rPr>
      <w:rFonts w:ascii="Times New Roman" w:hAnsi="Times New Roman"/>
      <w:b/>
    </w:rPr>
  </w:style>
  <w:style w:type="paragraph" w:styleId="ListNumber">
    <w:name w:val="List Number"/>
    <w:basedOn w:val="List"/>
    <w:rsid w:val="00FC0E0F"/>
    <w:pPr>
      <w:numPr>
        <w:numId w:val="10"/>
      </w:numPr>
    </w:pPr>
  </w:style>
  <w:style w:type="character" w:customStyle="1" w:styleId="WingdingSymbols">
    <w:name w:val="Wingding Symbols"/>
    <w:rsid w:val="00FC0E0F"/>
    <w:rPr>
      <w:rFonts w:ascii="Wingdings" w:hAnsi="Wingdings"/>
    </w:rPr>
  </w:style>
  <w:style w:type="paragraph" w:customStyle="1" w:styleId="TableHeading">
    <w:name w:val="Table Heading"/>
    <w:basedOn w:val="HeadingBase"/>
    <w:rsid w:val="00FC0E0F"/>
    <w:pPr>
      <w:keepLines/>
      <w:pBdr>
        <w:bottom w:val="single" w:sz="6" w:space="1" w:color="918585"/>
      </w:pBdr>
      <w:spacing w:before="240"/>
    </w:pPr>
  </w:style>
  <w:style w:type="character" w:customStyle="1" w:styleId="HotSpot">
    <w:name w:val="HotSpot"/>
    <w:rsid w:val="00FC0E0F"/>
    <w:rPr>
      <w:color w:val="0033CC"/>
      <w:u w:val="none"/>
    </w:rPr>
  </w:style>
  <w:style w:type="paragraph" w:customStyle="1" w:styleId="BodyTextRight">
    <w:name w:val="Body Text Right"/>
    <w:basedOn w:val="BodyText"/>
    <w:rsid w:val="00FC0E0F"/>
    <w:pPr>
      <w:spacing w:before="0" w:after="0"/>
      <w:jc w:val="right"/>
    </w:pPr>
  </w:style>
  <w:style w:type="paragraph" w:styleId="Index3">
    <w:name w:val="index 3"/>
    <w:basedOn w:val="ListNumber2"/>
    <w:next w:val="Normal"/>
    <w:semiHidden/>
    <w:rsid w:val="00FC0E0F"/>
    <w:pPr>
      <w:numPr>
        <w:numId w:val="0"/>
      </w:numPr>
      <w:tabs>
        <w:tab w:val="right" w:leader="dot" w:pos="4176"/>
      </w:tabs>
    </w:pPr>
  </w:style>
  <w:style w:type="paragraph" w:styleId="ListNumber2">
    <w:name w:val="List Number 2"/>
    <w:basedOn w:val="List2"/>
    <w:rsid w:val="00FC0E0F"/>
    <w:pPr>
      <w:numPr>
        <w:numId w:val="9"/>
      </w:numPr>
      <w:tabs>
        <w:tab w:val="clear" w:pos="1060"/>
      </w:tabs>
    </w:pPr>
  </w:style>
  <w:style w:type="paragraph" w:customStyle="1" w:styleId="MarginNote">
    <w:name w:val="Margin Note"/>
    <w:basedOn w:val="BodyText"/>
    <w:rsid w:val="00FC0E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E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E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0E0F"/>
    <w:rPr>
      <w:sz w:val="32"/>
    </w:rPr>
  </w:style>
  <w:style w:type="paragraph" w:customStyle="1" w:styleId="HeadingProcedure">
    <w:name w:val="Heading Procedure"/>
    <w:basedOn w:val="HeadingBase"/>
    <w:next w:val="Normal"/>
    <w:rsid w:val="00FC0E0F"/>
    <w:pPr>
      <w:tabs>
        <w:tab w:val="left" w:pos="0"/>
      </w:tabs>
      <w:spacing w:before="120" w:after="60"/>
    </w:pPr>
    <w:rPr>
      <w:i/>
      <w:color w:val="918585"/>
      <w:sz w:val="22"/>
    </w:rPr>
  </w:style>
  <w:style w:type="paragraph" w:customStyle="1" w:styleId="TableBodyText">
    <w:name w:val="Table Body Text"/>
    <w:basedOn w:val="BodyText"/>
    <w:rsid w:val="00FC0E0F"/>
    <w:pPr>
      <w:spacing w:before="60" w:after="60"/>
    </w:pPr>
  </w:style>
  <w:style w:type="paragraph" w:styleId="ListContinue">
    <w:name w:val="List Continue"/>
    <w:basedOn w:val="List"/>
    <w:rsid w:val="00FC0E0F"/>
    <w:pPr>
      <w:ind w:firstLine="0"/>
    </w:pPr>
  </w:style>
  <w:style w:type="paragraph" w:customStyle="1" w:styleId="ListNote">
    <w:name w:val="List Note"/>
    <w:basedOn w:val="List"/>
    <w:rsid w:val="00FC0E0F"/>
    <w:pPr>
      <w:pBdr>
        <w:top w:val="single" w:sz="6" w:space="2" w:color="918585"/>
        <w:bottom w:val="single" w:sz="6" w:space="2" w:color="918585"/>
      </w:pBdr>
      <w:tabs>
        <w:tab w:val="left" w:pos="1021"/>
      </w:tabs>
      <w:ind w:firstLine="0"/>
    </w:pPr>
  </w:style>
  <w:style w:type="paragraph" w:customStyle="1" w:styleId="Warning">
    <w:name w:val="Warning"/>
    <w:basedOn w:val="BodyText"/>
    <w:rsid w:val="00FC0E0F"/>
    <w:pPr>
      <w:shd w:val="clear" w:color="auto" w:fill="D9D9D9"/>
      <w:tabs>
        <w:tab w:val="left" w:pos="992"/>
      </w:tabs>
      <w:ind w:left="119" w:right="119"/>
    </w:pPr>
    <w:rPr>
      <w:sz w:val="20"/>
    </w:rPr>
  </w:style>
  <w:style w:type="paragraph" w:customStyle="1" w:styleId="MarginIcons">
    <w:name w:val="Margin Icons"/>
    <w:basedOn w:val="BodyText"/>
    <w:rsid w:val="00FC0E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E0F"/>
    <w:rPr>
      <w:rFonts w:ascii="Courier New" w:hAnsi="Courier New"/>
    </w:rPr>
  </w:style>
  <w:style w:type="paragraph" w:customStyle="1" w:styleId="NoteBullet">
    <w:name w:val="Note Bullet"/>
    <w:basedOn w:val="Note"/>
    <w:rsid w:val="00FC0E0F"/>
    <w:pPr>
      <w:tabs>
        <w:tab w:val="clear" w:pos="680"/>
      </w:tabs>
      <w:spacing w:before="60" w:after="60"/>
    </w:pPr>
  </w:style>
  <w:style w:type="paragraph" w:customStyle="1" w:styleId="SubHeading2">
    <w:name w:val="SubHeading2"/>
    <w:basedOn w:val="HeadingBase"/>
    <w:rsid w:val="00FC0E0F"/>
    <w:pPr>
      <w:spacing w:before="240" w:after="60"/>
    </w:pPr>
    <w:rPr>
      <w:sz w:val="20"/>
    </w:rPr>
  </w:style>
  <w:style w:type="paragraph" w:customStyle="1" w:styleId="SubHeading1">
    <w:name w:val="SubHeading1"/>
    <w:basedOn w:val="HeadingBase"/>
    <w:rsid w:val="00FC0E0F"/>
    <w:pPr>
      <w:spacing w:before="240" w:after="60"/>
    </w:pPr>
    <w:rPr>
      <w:color w:val="918585"/>
      <w:sz w:val="22"/>
    </w:rPr>
  </w:style>
  <w:style w:type="paragraph" w:customStyle="1" w:styleId="SideHeading">
    <w:name w:val="Side Heading"/>
    <w:basedOn w:val="HeadingBase"/>
    <w:rsid w:val="00FC0E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E0F"/>
    <w:pPr>
      <w:tabs>
        <w:tab w:val="num" w:pos="360"/>
      </w:tabs>
    </w:pPr>
  </w:style>
  <w:style w:type="paragraph" w:styleId="PlainText">
    <w:name w:val="Plain Text"/>
    <w:basedOn w:val="Normal"/>
    <w:link w:val="PlainTextChar"/>
    <w:rsid w:val="00FC0E0F"/>
    <w:rPr>
      <w:sz w:val="20"/>
    </w:rPr>
  </w:style>
  <w:style w:type="character" w:customStyle="1" w:styleId="PlainTextChar">
    <w:name w:val="Plain Text Char"/>
    <w:basedOn w:val="DefaultParagraphFont"/>
    <w:link w:val="PlainText"/>
    <w:rsid w:val="00FC0E0F"/>
    <w:rPr>
      <w:rFonts w:ascii="Courier New" w:eastAsia="Times New Roman" w:hAnsi="Courier New" w:cs="Times New Roman"/>
      <w:sz w:val="20"/>
      <w:szCs w:val="20"/>
      <w:lang w:eastAsia="en-US"/>
    </w:rPr>
  </w:style>
  <w:style w:type="character" w:customStyle="1" w:styleId="MenuOption">
    <w:name w:val="Menu Option"/>
    <w:basedOn w:val="DefaultParagraphFont"/>
    <w:rsid w:val="00FC0E0F"/>
    <w:rPr>
      <w:b/>
      <w:smallCaps/>
    </w:rPr>
  </w:style>
  <w:style w:type="paragraph" w:customStyle="1" w:styleId="TableListNumber">
    <w:name w:val="Table List Number"/>
    <w:basedOn w:val="ListNumber"/>
    <w:rsid w:val="00FC0E0F"/>
    <w:pPr>
      <w:numPr>
        <w:numId w:val="0"/>
      </w:numPr>
    </w:pPr>
  </w:style>
  <w:style w:type="paragraph" w:styleId="TOC4">
    <w:name w:val="toc 4"/>
    <w:basedOn w:val="TOCBase"/>
    <w:next w:val="Normal"/>
    <w:semiHidden/>
    <w:rsid w:val="00FC0E0F"/>
    <w:pPr>
      <w:tabs>
        <w:tab w:val="right" w:leader="dot" w:pos="9071"/>
      </w:tabs>
      <w:ind w:left="1701"/>
    </w:pPr>
  </w:style>
  <w:style w:type="paragraph" w:customStyle="1" w:styleId="ListAlpha">
    <w:name w:val="List Alpha"/>
    <w:basedOn w:val="List"/>
    <w:rsid w:val="00FC0E0F"/>
    <w:pPr>
      <w:numPr>
        <w:numId w:val="8"/>
      </w:numPr>
    </w:pPr>
  </w:style>
  <w:style w:type="paragraph" w:customStyle="1" w:styleId="ListAlpha2">
    <w:name w:val="List Alpha 2"/>
    <w:basedOn w:val="List2"/>
    <w:rsid w:val="00FC0E0F"/>
    <w:pPr>
      <w:numPr>
        <w:numId w:val="7"/>
      </w:numPr>
    </w:pPr>
  </w:style>
  <w:style w:type="paragraph" w:styleId="List2">
    <w:name w:val="List 2"/>
    <w:basedOn w:val="BodyText"/>
    <w:rsid w:val="00FC0E0F"/>
    <w:pPr>
      <w:tabs>
        <w:tab w:val="left" w:pos="680"/>
      </w:tabs>
      <w:spacing w:before="60" w:after="60"/>
      <w:ind w:left="680" w:hanging="340"/>
    </w:pPr>
  </w:style>
  <w:style w:type="paragraph" w:styleId="List3">
    <w:name w:val="List 3"/>
    <w:basedOn w:val="BodyText"/>
    <w:rsid w:val="00FC0E0F"/>
    <w:pPr>
      <w:tabs>
        <w:tab w:val="left" w:pos="1021"/>
      </w:tabs>
      <w:spacing w:before="60" w:after="60"/>
      <w:ind w:left="1020" w:hanging="340"/>
    </w:pPr>
  </w:style>
  <w:style w:type="paragraph" w:styleId="List4">
    <w:name w:val="List 4"/>
    <w:basedOn w:val="BodyText"/>
    <w:rsid w:val="00FC0E0F"/>
    <w:pPr>
      <w:tabs>
        <w:tab w:val="left" w:pos="1361"/>
      </w:tabs>
      <w:spacing w:before="60" w:after="60"/>
      <w:ind w:left="1361" w:hanging="340"/>
    </w:pPr>
  </w:style>
  <w:style w:type="paragraph" w:styleId="List5">
    <w:name w:val="List 5"/>
    <w:basedOn w:val="BodyText"/>
    <w:rsid w:val="00FC0E0F"/>
    <w:pPr>
      <w:tabs>
        <w:tab w:val="left" w:pos="1701"/>
      </w:tabs>
      <w:spacing w:before="60" w:after="60"/>
      <w:ind w:left="1701" w:hanging="340"/>
    </w:pPr>
  </w:style>
  <w:style w:type="paragraph" w:styleId="ListBullet3">
    <w:name w:val="List Bullet 3"/>
    <w:basedOn w:val="List3"/>
    <w:rsid w:val="00FC0E0F"/>
    <w:pPr>
      <w:numPr>
        <w:numId w:val="14"/>
      </w:numPr>
      <w:tabs>
        <w:tab w:val="clear" w:pos="1021"/>
      </w:tabs>
      <w:ind w:left="1037" w:hanging="357"/>
    </w:pPr>
  </w:style>
  <w:style w:type="paragraph" w:styleId="ListBullet4">
    <w:name w:val="List Bullet 4"/>
    <w:basedOn w:val="List4"/>
    <w:rsid w:val="00FC0E0F"/>
    <w:pPr>
      <w:numPr>
        <w:numId w:val="2"/>
      </w:numPr>
      <w:tabs>
        <w:tab w:val="clear" w:pos="1361"/>
      </w:tabs>
    </w:pPr>
  </w:style>
  <w:style w:type="paragraph" w:styleId="ListBullet5">
    <w:name w:val="List Bullet 5"/>
    <w:basedOn w:val="List5"/>
    <w:rsid w:val="00FC0E0F"/>
    <w:pPr>
      <w:numPr>
        <w:numId w:val="3"/>
      </w:numPr>
    </w:pPr>
  </w:style>
  <w:style w:type="paragraph" w:styleId="ListContinue2">
    <w:name w:val="List Continue 2"/>
    <w:basedOn w:val="List2"/>
    <w:rsid w:val="00FC0E0F"/>
    <w:pPr>
      <w:ind w:firstLine="0"/>
    </w:pPr>
  </w:style>
  <w:style w:type="paragraph" w:styleId="ListContinue3">
    <w:name w:val="List Continue 3"/>
    <w:basedOn w:val="List3"/>
    <w:rsid w:val="00FC0E0F"/>
    <w:pPr>
      <w:ind w:left="1021" w:firstLine="0"/>
    </w:pPr>
  </w:style>
  <w:style w:type="paragraph" w:styleId="ListContinue4">
    <w:name w:val="List Continue 4"/>
    <w:basedOn w:val="List4"/>
    <w:rsid w:val="00FC0E0F"/>
    <w:pPr>
      <w:ind w:firstLine="0"/>
    </w:pPr>
  </w:style>
  <w:style w:type="paragraph" w:styleId="ListContinue5">
    <w:name w:val="List Continue 5"/>
    <w:basedOn w:val="List5"/>
    <w:rsid w:val="00FC0E0F"/>
    <w:pPr>
      <w:ind w:firstLine="0"/>
    </w:pPr>
  </w:style>
  <w:style w:type="paragraph" w:styleId="ListNumber3">
    <w:name w:val="List Number 3"/>
    <w:basedOn w:val="List3"/>
    <w:rsid w:val="00FC0E0F"/>
    <w:pPr>
      <w:numPr>
        <w:numId w:val="4"/>
      </w:numPr>
    </w:pPr>
  </w:style>
  <w:style w:type="paragraph" w:styleId="ListNumber4">
    <w:name w:val="List Number 4"/>
    <w:basedOn w:val="List4"/>
    <w:rsid w:val="00FC0E0F"/>
    <w:pPr>
      <w:numPr>
        <w:numId w:val="5"/>
      </w:numPr>
    </w:pPr>
  </w:style>
  <w:style w:type="paragraph" w:styleId="ListNumber5">
    <w:name w:val="List Number 5"/>
    <w:basedOn w:val="List5"/>
    <w:rsid w:val="00FC0E0F"/>
    <w:pPr>
      <w:numPr>
        <w:numId w:val="6"/>
      </w:numPr>
    </w:pPr>
  </w:style>
  <w:style w:type="paragraph" w:styleId="BlockText">
    <w:name w:val="Block Text"/>
    <w:basedOn w:val="Normal"/>
    <w:rsid w:val="00FC0E0F"/>
    <w:pPr>
      <w:spacing w:after="120"/>
      <w:ind w:left="1440" w:right="1440"/>
    </w:pPr>
  </w:style>
  <w:style w:type="character" w:customStyle="1" w:styleId="Subscript">
    <w:name w:val="Subscript"/>
    <w:basedOn w:val="DefaultParagraphFont"/>
    <w:rsid w:val="00FC0E0F"/>
    <w:rPr>
      <w:sz w:val="16"/>
      <w:vertAlign w:val="subscript"/>
    </w:rPr>
  </w:style>
  <w:style w:type="character" w:customStyle="1" w:styleId="Superscript">
    <w:name w:val="Superscript"/>
    <w:basedOn w:val="DefaultParagraphFont"/>
    <w:rsid w:val="00FC0E0F"/>
    <w:rPr>
      <w:sz w:val="16"/>
      <w:vertAlign w:val="superscript"/>
    </w:rPr>
  </w:style>
  <w:style w:type="character" w:customStyle="1" w:styleId="Symbols">
    <w:name w:val="Symbols"/>
    <w:basedOn w:val="DefaultParagraphFont"/>
    <w:rsid w:val="00FC0E0F"/>
    <w:rPr>
      <w:rFonts w:ascii="Symbol" w:hAnsi="Symbol"/>
    </w:rPr>
  </w:style>
  <w:style w:type="character" w:customStyle="1" w:styleId="MenuOptions">
    <w:name w:val="Menu Options"/>
    <w:basedOn w:val="DefaultParagraphFont"/>
    <w:rsid w:val="00FC0E0F"/>
    <w:rPr>
      <w:rFonts w:ascii="Arial Narrow" w:hAnsi="Arial Narrow"/>
      <w:smallCaps/>
    </w:rPr>
  </w:style>
  <w:style w:type="character" w:customStyle="1" w:styleId="Buttons">
    <w:name w:val="Buttons"/>
    <w:basedOn w:val="DefaultParagraphFont"/>
    <w:rsid w:val="00FC0E0F"/>
    <w:rPr>
      <w:b/>
    </w:rPr>
  </w:style>
  <w:style w:type="character" w:customStyle="1" w:styleId="Underlined">
    <w:name w:val="Underlined"/>
    <w:basedOn w:val="DefaultParagraphFont"/>
    <w:rsid w:val="00FC0E0F"/>
    <w:rPr>
      <w:u w:val="single"/>
    </w:rPr>
  </w:style>
  <w:style w:type="paragraph" w:customStyle="1" w:styleId="TableBodyTextRight">
    <w:name w:val="Table Body Text Right"/>
    <w:basedOn w:val="TableBodyText"/>
    <w:rsid w:val="00FC0E0F"/>
    <w:pPr>
      <w:widowControl w:val="0"/>
      <w:autoSpaceDE w:val="0"/>
      <w:autoSpaceDN w:val="0"/>
      <w:adjustRightInd w:val="0"/>
      <w:jc w:val="right"/>
    </w:pPr>
    <w:rPr>
      <w:rFonts w:cs="Arial"/>
      <w:szCs w:val="18"/>
    </w:rPr>
  </w:style>
  <w:style w:type="paragraph" w:customStyle="1" w:styleId="CopyrightText">
    <w:name w:val="Copyright Text"/>
    <w:basedOn w:val="BodyText"/>
    <w:rsid w:val="00FC0E0F"/>
    <w:rPr>
      <w:sz w:val="18"/>
    </w:rPr>
  </w:style>
  <w:style w:type="paragraph" w:customStyle="1" w:styleId="BodySmallRight">
    <w:name w:val="Body Small Right"/>
    <w:basedOn w:val="BodyTextRight"/>
    <w:rsid w:val="00FC0E0F"/>
    <w:rPr>
      <w:sz w:val="18"/>
      <w:szCs w:val="18"/>
    </w:rPr>
  </w:style>
  <w:style w:type="paragraph" w:customStyle="1" w:styleId="MarginEdition">
    <w:name w:val="Margin Edition"/>
    <w:basedOn w:val="MarginNote"/>
    <w:rsid w:val="00FC0E0F"/>
    <w:pPr>
      <w:spacing w:before="0" w:after="0"/>
    </w:pPr>
    <w:rPr>
      <w:rFonts w:ascii="Times New Roman" w:hAnsi="Times New Roman"/>
      <w:color w:val="999999"/>
    </w:rPr>
  </w:style>
  <w:style w:type="paragraph" w:customStyle="1" w:styleId="Spacer">
    <w:name w:val="Spacer"/>
    <w:basedOn w:val="Normal"/>
    <w:rsid w:val="00FC0E0F"/>
    <w:rPr>
      <w:sz w:val="2"/>
      <w:szCs w:val="2"/>
    </w:rPr>
  </w:style>
  <w:style w:type="character" w:customStyle="1" w:styleId="Small">
    <w:name w:val="Small"/>
    <w:basedOn w:val="DefaultParagraphFont"/>
    <w:rsid w:val="00FC0E0F"/>
    <w:rPr>
      <w:sz w:val="16"/>
    </w:rPr>
  </w:style>
  <w:style w:type="paragraph" w:customStyle="1" w:styleId="WideTable">
    <w:name w:val="Wide Table"/>
    <w:basedOn w:val="Normal"/>
    <w:rsid w:val="00FC0E0F"/>
    <w:pPr>
      <w:ind w:left="-1418"/>
    </w:pPr>
    <w:rPr>
      <w:sz w:val="2"/>
      <w:szCs w:val="2"/>
    </w:rPr>
  </w:style>
  <w:style w:type="character" w:styleId="PageNumber">
    <w:name w:val="page number"/>
    <w:basedOn w:val="DefaultParagraphFont"/>
    <w:rsid w:val="00FC0E0F"/>
  </w:style>
  <w:style w:type="paragraph" w:styleId="Quote">
    <w:name w:val="Quote"/>
    <w:basedOn w:val="Heading1"/>
    <w:link w:val="QuoteChar"/>
    <w:qFormat/>
    <w:rsid w:val="00FC0E0F"/>
    <w:rPr>
      <w:b w:val="0"/>
      <w:sz w:val="72"/>
      <w:szCs w:val="72"/>
      <w:lang w:val="en-NZ"/>
    </w:rPr>
  </w:style>
  <w:style w:type="character" w:customStyle="1" w:styleId="QuoteChar">
    <w:name w:val="Quote Char"/>
    <w:basedOn w:val="DefaultParagraphFont"/>
    <w:link w:val="Quote"/>
    <w:rsid w:val="00FC0E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E0F"/>
    <w:pPr>
      <w:pageBreakBefore/>
    </w:pPr>
  </w:style>
  <w:style w:type="paragraph" w:customStyle="1" w:styleId="Border">
    <w:name w:val="Border"/>
    <w:basedOn w:val="Normal"/>
    <w:qFormat/>
    <w:rsid w:val="00FC0E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E0F"/>
    <w:rPr>
      <w:b/>
      <w:bCs/>
      <w:i/>
      <w:iCs/>
      <w:color w:val="auto"/>
    </w:rPr>
  </w:style>
  <w:style w:type="paragraph" w:styleId="IntenseQuote">
    <w:name w:val="Intense Quote"/>
    <w:basedOn w:val="Normal"/>
    <w:next w:val="Normal"/>
    <w:link w:val="IntenseQuoteChar"/>
    <w:uiPriority w:val="30"/>
    <w:qFormat/>
    <w:rsid w:val="00FC0E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E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0E0F"/>
    <w:rPr>
      <w:smallCaps/>
      <w:color w:val="auto"/>
      <w:u w:val="single"/>
    </w:rPr>
  </w:style>
  <w:style w:type="character" w:styleId="IntenseReference">
    <w:name w:val="Intense Reference"/>
    <w:basedOn w:val="DefaultParagraphFont"/>
    <w:uiPriority w:val="32"/>
    <w:qFormat/>
    <w:rsid w:val="00FC0E0F"/>
    <w:rPr>
      <w:b/>
      <w:bCs/>
      <w:smallCaps/>
      <w:color w:val="auto"/>
      <w:spacing w:val="5"/>
      <w:u w:val="single"/>
    </w:rPr>
  </w:style>
  <w:style w:type="paragraph" w:customStyle="1" w:styleId="2ColumnHeading">
    <w:name w:val="2Column Heading"/>
    <w:basedOn w:val="BodyText"/>
    <w:qFormat/>
    <w:rsid w:val="00FC0E0F"/>
    <w:pPr>
      <w:spacing w:after="60"/>
      <w:ind w:left="-2268"/>
    </w:pPr>
    <w:rPr>
      <w:b/>
    </w:rPr>
  </w:style>
  <w:style w:type="paragraph" w:customStyle="1" w:styleId="Heading1TOC">
    <w:name w:val="Heading1 TOC"/>
    <w:basedOn w:val="Normal"/>
    <w:qFormat/>
    <w:rsid w:val="00FC0E0F"/>
    <w:pPr>
      <w:spacing w:before="240" w:after="120"/>
    </w:pPr>
    <w:rPr>
      <w:rFonts w:ascii="Times New Roman" w:hAnsi="Times New Roman"/>
      <w:b/>
      <w:sz w:val="32"/>
    </w:rPr>
  </w:style>
  <w:style w:type="paragraph" w:customStyle="1" w:styleId="Heading2TOC">
    <w:name w:val="Heading2 TOC"/>
    <w:basedOn w:val="Normal"/>
    <w:qFormat/>
    <w:rsid w:val="00FC0E0F"/>
    <w:pPr>
      <w:spacing w:before="240" w:after="60"/>
    </w:pPr>
    <w:rPr>
      <w:rFonts w:ascii="Times New Roman" w:hAnsi="Times New Roman"/>
      <w:b/>
      <w:sz w:val="28"/>
    </w:rPr>
  </w:style>
  <w:style w:type="character" w:customStyle="1" w:styleId="Underline">
    <w:name w:val="Underline"/>
    <w:basedOn w:val="DefaultParagraphFont"/>
    <w:qFormat/>
    <w:rsid w:val="00FC0E0F"/>
    <w:rPr>
      <w:u w:val="single"/>
    </w:rPr>
  </w:style>
  <w:style w:type="character" w:customStyle="1" w:styleId="BoldandItalics">
    <w:name w:val="Bold and Italics"/>
    <w:qFormat/>
    <w:rsid w:val="00FC0E0F"/>
    <w:rPr>
      <w:b/>
      <w:i/>
      <w:u w:val="none"/>
    </w:rPr>
  </w:style>
  <w:style w:type="paragraph" w:styleId="BalloonText">
    <w:name w:val="Balloon Text"/>
    <w:basedOn w:val="Normal"/>
    <w:link w:val="BalloonTextChar"/>
    <w:rsid w:val="00FC0E0F"/>
    <w:rPr>
      <w:rFonts w:ascii="Tahoma" w:hAnsi="Tahoma" w:cs="Tahoma"/>
      <w:sz w:val="16"/>
      <w:szCs w:val="16"/>
    </w:rPr>
  </w:style>
  <w:style w:type="character" w:customStyle="1" w:styleId="BalloonTextChar">
    <w:name w:val="Balloon Text Char"/>
    <w:basedOn w:val="DefaultParagraphFont"/>
    <w:link w:val="BalloonText"/>
    <w:rsid w:val="00FC0E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0E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0E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0E0F"/>
    <w:rPr>
      <w:b/>
      <w:color w:val="660033"/>
      <w:spacing w:val="0"/>
    </w:rPr>
  </w:style>
  <w:style w:type="paragraph" w:customStyle="1" w:styleId="Nameditemlist">
    <w:name w:val="Named item list"/>
    <w:basedOn w:val="BodyText"/>
    <w:qFormat/>
    <w:rsid w:val="00FC0E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Words>
  <Characters>5355</Characters>
  <Application>Microsoft Office Word</Application>
  <DocSecurity>0</DocSecurity>
  <Lines>214</Lines>
  <Paragraphs>96</Paragraphs>
  <ScaleCrop>false</ScaleCrop>
  <Company>Author-it Software Corporation Ltd.</Company>
  <LinksUpToDate>false</LinksUpToDate>
  <CharactersWithSpaces>6104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MSS015018 Inform and educate organisation and community representatives on sustainability issues</dc:title>
  <dc:subject>Approved</dc:subject>
  <dc:creator>Manufacturing Skills Australia</dc:creator>
  <cp:keywords>Release: 1</cp:keywords>
  <dc:description>Review Date: 12 April 2008</dc:description>
  <cp:lastModifiedBy>TPCMS</cp:lastModifiedBy>
  <cp:revision>3</cp:revision>
  <dcterms:created xsi:type="dcterms:W3CDTF">2016-06-22T08:42:00Z</dcterms:created>
  <dcterms:modified xsi:type="dcterms:W3CDTF">2016-06-22T08:42:00Z</dcterms:modified>
</cp:coreProperties>
</file>