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527" w:rsidP="00B17527">
      <w:pPr>
        <w:pStyle w:val="Title"/>
      </w:pPr>
      <w:r>
        <w:fldChar w:fldCharType="begin"/>
      </w:r>
      <w:r>
        <w:instrText xml:space="preserve"> TITLE   \* MERGEFORMAT </w:instrText>
      </w:r>
      <w:r>
        <w:fldChar w:fldCharType="separate"/>
      </w:r>
      <w:r>
        <w:t>MSS015017 Develop regulated sustainability reports</w:t>
      </w:r>
      <w:r>
        <w:fldChar w:fldCharType="end"/>
      </w:r>
    </w:p>
    <w:p w:rsidR="00B17527" w:rsidP="00B17527">
      <w:pPr>
        <w:pStyle w:val="Version"/>
        <w:sectPr w:rsidSect="00DE66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6DB" w:rsidP="00DE66DB">
      <w:pPr>
        <w:pStyle w:val="SuperHeading"/>
      </w:pPr>
      <w:r w:rsidRPr="00DE66DB">
        <w:t>MSS015017 Develop regulated sustainability reports</w:t>
      </w:r>
    </w:p>
    <w:p w:rsidR="00000000" w:rsidRPr="00DE66DB" w:rsidP="00DE66DB">
      <w:pPr>
        <w:pStyle w:val="Heading1"/>
      </w:pPr>
      <w:bookmarkStart w:id="1" w:name="O_923229"/>
      <w:bookmarkEnd w:id="1"/>
      <w:r w:rsidRPr="00DE66DB">
        <w:t>Modification History</w:t>
      </w:r>
    </w:p>
    <w:p w:rsidR="00000000" w:rsidRPr="00DE66DB" w:rsidP="00DE66DB">
      <w:pPr>
        <w:pStyle w:val="BodyText"/>
      </w:pPr>
      <w:r w:rsidRPr="00DE66DB">
        <w:t xml:space="preserve">Release 1. Supersedes and is equivalent to MSS015017A Develop regulated sustainability reports. </w:t>
      </w:r>
    </w:p>
    <w:p w:rsidR="00000000" w:rsidRPr="00DE66DB" w:rsidP="00DE66DB">
      <w:pPr>
        <w:pStyle w:val="AllowPageBreak"/>
      </w:pPr>
    </w:p>
    <w:p w:rsidR="00000000" w:rsidRPr="00DE66DB" w:rsidP="00DE66DB">
      <w:pPr>
        <w:pStyle w:val="Heading1"/>
      </w:pPr>
      <w:bookmarkStart w:id="2" w:name="O_923237"/>
      <w:bookmarkEnd w:id="2"/>
      <w:r w:rsidRPr="00DE66DB">
        <w:t>Application</w:t>
      </w:r>
    </w:p>
    <w:p w:rsidR="00000000" w:rsidRPr="00DE66DB" w:rsidP="00DE66DB">
      <w:pPr>
        <w:pStyle w:val="BodyText"/>
      </w:pPr>
      <w:r w:rsidRPr="00DE66DB">
        <w:t>This unit of competency covers drafting reports required to meet government schemes or regulations or</w:t>
      </w:r>
      <w:r w:rsidRPr="00DE66DB">
        <w:t xml:space="preserve"> similar sustainability regulatory reporting requirements. These may include the interpretation of technical data into the information required. It includes the development of formats or internal reporting templates to meet the public needs of the organisa</w:t>
      </w:r>
      <w:r w:rsidRPr="00DE66DB">
        <w:t>tion.</w:t>
      </w:r>
    </w:p>
    <w:p w:rsidR="00000000" w:rsidRPr="00DE66DB" w:rsidP="00DE66DB">
      <w:pPr>
        <w:pStyle w:val="BodyText"/>
      </w:pPr>
    </w:p>
    <w:p w:rsidR="00000000" w:rsidRPr="00DE66DB" w:rsidP="00DE66DB">
      <w:pPr>
        <w:pStyle w:val="BodyText"/>
      </w:pPr>
      <w:r w:rsidRPr="00DE66DB">
        <w:t xml:space="preserve">This unit applies in organisations that are impacted by sustainability related legislation and regulations, such as environmental legislation and carbon pollution regulations, incentives or schemes. A manager or technical specialist who has a major </w:t>
      </w:r>
      <w:r w:rsidRPr="00DE66DB">
        <w:t>responsibility for sustainability as part of a broader work role would typically undertake this, or sustainability may be their primary work responsibility.</w:t>
      </w:r>
    </w:p>
    <w:p w:rsidR="00000000" w:rsidRPr="00DE66DB" w:rsidP="00DE66DB">
      <w:pPr>
        <w:pStyle w:val="BodyText"/>
      </w:pPr>
    </w:p>
    <w:p w:rsidR="00000000" w:rsidRPr="00DE66DB" w:rsidP="00DE66DB">
      <w:pPr>
        <w:pStyle w:val="BodyText"/>
      </w:pPr>
      <w:r w:rsidRPr="00DE66DB">
        <w:t>Information required for the report may be gathered by the individual or as part of a team. The un</w:t>
      </w:r>
      <w:r w:rsidRPr="00DE66DB">
        <w:t>it does not cover undertaking environmental or other technical analysis to gain required information. However, there is a requirement to present and organise data. The complexity of this requirement will vary according to the type and scale of the organisa</w:t>
      </w:r>
      <w:r w:rsidRPr="00DE66DB">
        <w:t>tion’s processes.</w:t>
      </w:r>
    </w:p>
    <w:p w:rsidR="00000000" w:rsidRPr="00DE66DB" w:rsidP="00DE66DB">
      <w:pPr>
        <w:pStyle w:val="BodyText"/>
      </w:pPr>
    </w:p>
    <w:p w:rsidR="00000000" w:rsidRPr="00DE66DB" w:rsidP="00DE66DB">
      <w:pPr>
        <w:pStyle w:val="BodyText"/>
      </w:pPr>
      <w:r w:rsidRPr="00DE66DB">
        <w:t>No licensing, legislative or certification requirements apply to this unit at the time of publication.</w:t>
      </w:r>
    </w:p>
    <w:p w:rsidR="00000000" w:rsidRPr="00DE66DB" w:rsidP="00DE66DB">
      <w:pPr>
        <w:pStyle w:val="AllowPageBreak"/>
      </w:pPr>
    </w:p>
    <w:p w:rsidR="00000000" w:rsidRPr="00DE66DB" w:rsidP="00DE66DB">
      <w:pPr>
        <w:pStyle w:val="Heading1"/>
      </w:pPr>
      <w:bookmarkStart w:id="3" w:name="O_923236"/>
      <w:bookmarkEnd w:id="3"/>
      <w:r w:rsidRPr="00DE66DB">
        <w:t>Pre-requisite Unit</w:t>
      </w:r>
    </w:p>
    <w:p w:rsidR="00000000" w:rsidRPr="00DE66DB" w:rsidP="00DE66DB">
      <w:pPr>
        <w:pStyle w:val="BodyText"/>
      </w:pPr>
      <w:r w:rsidRPr="00DE66DB">
        <w:t>Nil</w:t>
      </w:r>
    </w:p>
    <w:p w:rsidR="00000000" w:rsidRPr="00DE66DB" w:rsidP="00DE66DB">
      <w:pPr>
        <w:pStyle w:val="AllowPageBreak"/>
      </w:pPr>
    </w:p>
    <w:p w:rsidR="00000000" w:rsidRPr="00DE66DB" w:rsidP="00DE66DB">
      <w:pPr>
        <w:pStyle w:val="Heading1"/>
      </w:pPr>
      <w:bookmarkStart w:id="4" w:name="O_923235"/>
      <w:bookmarkEnd w:id="4"/>
      <w:r w:rsidRPr="00DE66DB">
        <w:t>Competency Field</w:t>
      </w:r>
    </w:p>
    <w:p w:rsidR="00000000" w:rsidRPr="00DE66DB" w:rsidP="00DE66DB">
      <w:pPr>
        <w:pStyle w:val="BodyText"/>
      </w:pPr>
      <w:r w:rsidRPr="00DE66DB">
        <w:t>Sustainable operations</w:t>
      </w:r>
    </w:p>
    <w:p w:rsidR="00000000" w:rsidRPr="00DE66DB" w:rsidP="00DE66DB">
      <w:pPr>
        <w:pStyle w:val="AllowPageBreak"/>
      </w:pPr>
    </w:p>
    <w:p w:rsidR="00000000" w:rsidRPr="00DE66DB" w:rsidP="00DE66DB">
      <w:pPr>
        <w:pStyle w:val="Heading1"/>
      </w:pPr>
      <w:bookmarkStart w:id="5" w:name="O_923234"/>
      <w:bookmarkEnd w:id="5"/>
      <w:r w:rsidRPr="00DE66DB">
        <w:t>Unit Sector</w:t>
      </w:r>
    </w:p>
    <w:p w:rsidR="00000000" w:rsidRPr="00DE66DB" w:rsidP="00DE66DB">
      <w:pPr>
        <w:pStyle w:val="BodyText"/>
      </w:pPr>
      <w:r w:rsidRPr="00DE66DB">
        <w:t>Not appl</w:t>
      </w:r>
      <w:r w:rsidRPr="00DE66DB">
        <w:t>icable</w:t>
      </w:r>
    </w:p>
    <w:p w:rsidR="00000000" w:rsidRPr="00DE66DB" w:rsidP="00DE66DB">
      <w:pPr>
        <w:pStyle w:val="AllowPageBreak"/>
      </w:pPr>
    </w:p>
    <w:p w:rsidR="00000000" w:rsidRPr="00DE66DB" w:rsidP="00DE66DB">
      <w:pPr>
        <w:pStyle w:val="Heading1"/>
      </w:pPr>
      <w:bookmarkStart w:id="6" w:name="O_923233"/>
      <w:bookmarkEnd w:id="6"/>
      <w:r w:rsidRPr="00DE66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66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Performance criteria describe the performance needed to demonstrate achievement of the element.</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6DB" w:rsidP="00DE66DB">
            <w:pPr>
              <w:pStyle w:val="BodyText"/>
            </w:pPr>
            <w:r w:rsidRPr="00DE66DB">
              <w:t>1</w:t>
            </w:r>
          </w:p>
        </w:tc>
        <w:tc>
          <w:tcPr>
            <w:tcW w:w="1962" w:type="dxa"/>
            <w:vMerge w:val="restart"/>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rPr>
                <w:rStyle w:val="SpecialBold"/>
              </w:rPr>
              <w:t>Determine data requirements</w:t>
            </w: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1.1</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Identify current thresholds required for reporting in each category.</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1.2</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Locate sources of required data.</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1.3</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Identify measurement and calculation techniques required to meet reporting obligations.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1.4</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Establish systems to collect and process required data and information.</w:t>
            </w:r>
          </w:p>
        </w:tc>
      </w:tr>
      <w:tr w:rsidTr="00DE66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6DB">
            <w:pPr>
              <w:pStyle w:val="BodyText"/>
              <w:rPr>
                <w:lang w:val="en-NZ"/>
              </w:rPr>
            </w:pP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6DB" w:rsidP="00DE66DB">
            <w:pPr>
              <w:pStyle w:val="BodyText"/>
            </w:pPr>
            <w:r w:rsidRPr="00DE66DB">
              <w:t>2</w:t>
            </w:r>
          </w:p>
        </w:tc>
        <w:tc>
          <w:tcPr>
            <w:tcW w:w="1962" w:type="dxa"/>
            <w:vMerge w:val="restart"/>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rPr>
                <w:rStyle w:val="SpecialBold"/>
              </w:rPr>
              <w:t>Monitor data collection and processing</w:t>
            </w: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2.1</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Develop procedures and templates for data collection and processing.</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2.2</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Identify key indicators of data collection and processing proceeding according to plan.</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2.3</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Identify data collection/processing which is not to requirements.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2.4</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Take appropriate action to bring data collection/processing back to requirements.</w:t>
            </w:r>
          </w:p>
        </w:tc>
      </w:tr>
      <w:tr w:rsidTr="00DE66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6DB">
            <w:pPr>
              <w:pStyle w:val="BodyText"/>
              <w:rPr>
                <w:lang w:val="en-NZ"/>
              </w:rPr>
            </w:pP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6DB" w:rsidP="00DE66DB">
            <w:pPr>
              <w:pStyle w:val="BodyText"/>
            </w:pPr>
            <w:r w:rsidRPr="00DE66DB">
              <w:t>3</w:t>
            </w:r>
          </w:p>
        </w:tc>
        <w:tc>
          <w:tcPr>
            <w:tcW w:w="1962" w:type="dxa"/>
            <w:vMerge w:val="restart"/>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rPr>
                <w:rStyle w:val="SpecialBold"/>
              </w:rPr>
              <w:t>Draft report</w:t>
            </w: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3.1</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Determine regulatory report requirements.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3.2</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Negotiate other organisation requirements for report.</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3.3</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Develop a report format which complies with requirements.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3.4</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Determine required information from available data.</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3.5</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Collate all required data and information.</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3.6</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Prepare any required charts, tables and other graphics.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3.7</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Draft report to meet agreed needs and standards.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3.8</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Discuss draft report with key stakeholders.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3.9</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Identify key action items arising from report.</w:t>
            </w:r>
          </w:p>
        </w:tc>
      </w:tr>
      <w:tr w:rsidTr="00DE66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6DB">
            <w:pPr>
              <w:pStyle w:val="BodyText"/>
              <w:rPr>
                <w:lang w:val="en-NZ"/>
              </w:rPr>
            </w:pP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6DB" w:rsidP="00DE66DB">
            <w:pPr>
              <w:pStyle w:val="BodyText"/>
            </w:pPr>
            <w:r w:rsidRPr="00DE66DB">
              <w:t>4</w:t>
            </w:r>
          </w:p>
        </w:tc>
        <w:tc>
          <w:tcPr>
            <w:tcW w:w="1962" w:type="dxa"/>
            <w:vMerge w:val="restart"/>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rPr>
                <w:rStyle w:val="SpecialBold"/>
              </w:rPr>
              <w:t>Complete regulatory report</w:t>
            </w: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4.1</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Complete the regulatory report.</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4.2</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Obtain required authorisations and submit report according to procedures.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4.3</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Prepare recommendations for improvements to regulatory reporting process.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4.4</w:t>
            </w:r>
          </w:p>
        </w:tc>
        <w:tc>
          <w:tcPr>
            <w:tcW w:w="561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Prepare improvement recommendations for identified action items.</w:t>
            </w:r>
          </w:p>
        </w:tc>
      </w:tr>
      <w:tr w:rsidTr="00DE66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4.5</w:t>
            </w:r>
          </w:p>
        </w:tc>
        <w:tc>
          <w:tcPr>
            <w:tcW w:w="5610" w:type="dxa"/>
            <w:tcBorders>
              <w:top w:val="nil"/>
              <w:left w:val="nil"/>
              <w:bottom w:val="nil"/>
              <w:right w:val="nil"/>
            </w:tcBorders>
            <w:tcMar>
              <w:top w:w="0" w:type="dxa"/>
              <w:left w:w="62" w:type="dxa"/>
              <w:bottom w:w="0" w:type="dxa"/>
              <w:right w:w="62" w:type="dxa"/>
            </w:tcMar>
          </w:tcPr>
          <w:p w:rsidR="00000000" w:rsidRPr="00DE66DB" w:rsidP="00DE66DB">
            <w:pPr>
              <w:pStyle w:val="BodyText"/>
            </w:pPr>
            <w:r w:rsidRPr="00DE66DB">
              <w:t>Submit recommendations for implementation in accordance with organisation’s procedures.</w:t>
            </w:r>
          </w:p>
        </w:tc>
      </w:tr>
    </w:tbl>
    <w:p w:rsidR="00000000" w:rsidRPr="00DE66DB" w:rsidP="00DE66DB">
      <w:pPr>
        <w:pStyle w:val="BodyText"/>
      </w:pPr>
    </w:p>
    <w:p w:rsidR="00000000" w:rsidRPr="00DE66DB" w:rsidP="00DE66DB">
      <w:pPr>
        <w:pStyle w:val="AllowPageBreak"/>
      </w:pPr>
    </w:p>
    <w:p w:rsidR="00000000" w:rsidRPr="00DE66DB" w:rsidP="00DE66DB">
      <w:pPr>
        <w:pStyle w:val="Heading1"/>
      </w:pPr>
      <w:bookmarkStart w:id="7" w:name="O_923232"/>
      <w:bookmarkEnd w:id="7"/>
      <w:r w:rsidRPr="00DE66DB">
        <w:t>Foundation Skills</w:t>
      </w:r>
    </w:p>
    <w:p w:rsidR="00000000" w:rsidRPr="00DE66DB" w:rsidP="00DE66DB">
      <w:pPr>
        <w:pStyle w:val="BodyText"/>
      </w:pPr>
      <w:r w:rsidRPr="00DE66DB">
        <w:t>This section describes those required skills (language, literacy and numeracy) that are essential to performance.</w:t>
      </w:r>
    </w:p>
    <w:p w:rsidR="00000000" w:rsidRPr="00DE66DB" w:rsidP="00DE66DB">
      <w:pPr>
        <w:pStyle w:val="BodyText"/>
      </w:pPr>
    </w:p>
    <w:p w:rsidR="00000000" w:rsidRPr="00DE66DB" w:rsidP="00DE66DB">
      <w:pPr>
        <w:pStyle w:val="BodyText"/>
      </w:pPr>
      <w:r w:rsidRPr="00DE66DB">
        <w:t>Foundation skills essential to performance are explicit in the performance criteria of this unit of competency.</w:t>
      </w:r>
    </w:p>
    <w:p w:rsidR="00000000" w:rsidRPr="00DE66DB" w:rsidP="00DE66DB">
      <w:pPr>
        <w:pStyle w:val="AllowPageBreak"/>
      </w:pPr>
    </w:p>
    <w:p w:rsidR="00000000" w:rsidRPr="00DE66DB" w:rsidP="00DE66DB">
      <w:pPr>
        <w:pStyle w:val="Heading1"/>
      </w:pPr>
      <w:bookmarkStart w:id="8" w:name="O_923231"/>
      <w:bookmarkEnd w:id="8"/>
      <w:r w:rsidRPr="00DE66DB">
        <w:t>Range of Conditions</w:t>
      </w:r>
    </w:p>
    <w:tbl>
      <w:tblPr>
        <w:tblW w:w="0" w:type="auto"/>
        <w:tblLayout w:type="fixed"/>
        <w:tblCellMar>
          <w:left w:w="62" w:type="dxa"/>
          <w:right w:w="62" w:type="dxa"/>
        </w:tblCellMar>
        <w:tblLook w:val="0000"/>
      </w:tblPr>
      <w:tblGrid>
        <w:gridCol w:w="2203"/>
        <w:gridCol w:w="6869"/>
      </w:tblGrid>
      <w:tr w:rsidTr="00DE66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t>This field allows for different work environments and conditions that may affect performance. Essential operating conditions that may be present (depending on the work situation, needs of the candidate, accessibility of th</w:t>
            </w:r>
            <w:r w:rsidRPr="00DE66DB">
              <w:t>e item, and local industry and regional contexts) are included.</w:t>
            </w:r>
          </w:p>
        </w:tc>
      </w:tr>
      <w:tr w:rsidTr="00DE66D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rPr>
                <w:rStyle w:val="SpecialBold"/>
              </w:rPr>
              <w:t>Reporting category includes one or more of</w:t>
            </w:r>
          </w:p>
        </w:tc>
        <w:tc>
          <w:tcPr>
            <w:tcW w:w="6869" w:type="dxa"/>
            <w:tcBorders>
              <w:top w:val="nil"/>
              <w:left w:val="nil"/>
              <w:bottom w:val="nil"/>
              <w:right w:val="nil"/>
            </w:tcBorders>
            <w:tcMar>
              <w:top w:w="0" w:type="dxa"/>
              <w:left w:w="62" w:type="dxa"/>
              <w:bottom w:w="0" w:type="dxa"/>
              <w:right w:w="62" w:type="dxa"/>
            </w:tcMar>
          </w:tcPr>
          <w:p w:rsidR="00000000" w:rsidRPr="00DE66DB" w:rsidP="00DE66DB">
            <w:pPr>
              <w:pStyle w:val="ListBullet"/>
            </w:pPr>
            <w:r w:rsidRPr="00DE66DB">
              <w:t>greenhouse gas emissions</w:t>
            </w:r>
          </w:p>
          <w:p w:rsidR="00000000" w:rsidRPr="00DE66DB" w:rsidP="00DE66DB">
            <w:pPr>
              <w:pStyle w:val="ListBullet"/>
            </w:pPr>
            <w:r w:rsidRPr="00DE66DB">
              <w:t>energy production</w:t>
            </w:r>
          </w:p>
          <w:p w:rsidR="00000000" w:rsidRPr="00DE66DB" w:rsidP="00DE66DB">
            <w:pPr>
              <w:pStyle w:val="ListBullet"/>
            </w:pPr>
            <w:r w:rsidRPr="00DE66DB">
              <w:t>energy consumption</w:t>
            </w:r>
          </w:p>
          <w:p w:rsidR="00000000" w:rsidRPr="00DE66DB" w:rsidP="00DE66DB">
            <w:pPr>
              <w:pStyle w:val="ListBullet"/>
            </w:pPr>
            <w:r w:rsidRPr="00DE66DB">
              <w:t>waste generation and disposal</w:t>
            </w:r>
          </w:p>
          <w:p w:rsidR="00000000" w:rsidRPr="00DE66DB" w:rsidP="00DE66DB">
            <w:pPr>
              <w:pStyle w:val="ListBullet"/>
            </w:pPr>
            <w:r w:rsidRPr="00DE66DB">
              <w:t>water use, sources and disposal</w:t>
            </w:r>
          </w:p>
          <w:p w:rsidR="00000000" w:rsidRPr="00DE66DB" w:rsidP="00DE66DB">
            <w:pPr>
              <w:pStyle w:val="ListBullet"/>
            </w:pPr>
            <w:r w:rsidRPr="00DE66DB">
              <w:t>other information specified under legislation.</w:t>
            </w:r>
          </w:p>
          <w:p w:rsidR="00000000" w:rsidP="00DE66DB">
            <w:pPr>
              <w:pStyle w:val="BodyText"/>
              <w:rPr>
                <w:lang w:val="en-NZ"/>
              </w:rPr>
            </w:pPr>
          </w:p>
        </w:tc>
      </w:tr>
      <w:tr w:rsidTr="00DE66D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rPr>
                <w:rStyle w:val="SpecialBold"/>
              </w:rPr>
              <w:t>Sources of data include one or more of</w:t>
            </w:r>
          </w:p>
        </w:tc>
        <w:tc>
          <w:tcPr>
            <w:tcW w:w="6869" w:type="dxa"/>
            <w:tcBorders>
              <w:top w:val="nil"/>
              <w:left w:val="nil"/>
              <w:bottom w:val="nil"/>
              <w:right w:val="nil"/>
            </w:tcBorders>
            <w:tcMar>
              <w:top w:w="0" w:type="dxa"/>
              <w:left w:w="62" w:type="dxa"/>
              <w:bottom w:w="0" w:type="dxa"/>
              <w:right w:w="62" w:type="dxa"/>
            </w:tcMar>
          </w:tcPr>
          <w:p w:rsidR="00000000" w:rsidRPr="00DE66DB" w:rsidP="00DE66DB">
            <w:pPr>
              <w:pStyle w:val="ListBullet"/>
            </w:pPr>
            <w:r w:rsidRPr="00DE66DB">
              <w:t>existing reports (internal and external)</w:t>
            </w:r>
          </w:p>
          <w:p w:rsidR="00000000" w:rsidRPr="00DE66DB" w:rsidP="00DE66DB">
            <w:pPr>
              <w:pStyle w:val="ListBullet"/>
            </w:pPr>
            <w:r w:rsidRPr="00DE66DB">
              <w:t>process metrics</w:t>
            </w:r>
          </w:p>
          <w:p w:rsidR="00000000" w:rsidRPr="00DE66DB" w:rsidP="00DE66DB">
            <w:pPr>
              <w:pStyle w:val="ListBullet"/>
            </w:pPr>
            <w:r w:rsidRPr="00DE66DB">
              <w:t>purchasing, sales and accounting data</w:t>
            </w:r>
          </w:p>
          <w:p w:rsidR="00000000" w:rsidRPr="00DE66DB" w:rsidP="00DE66DB">
            <w:pPr>
              <w:pStyle w:val="ListBullet"/>
            </w:pPr>
            <w:r w:rsidRPr="00DE66DB">
              <w:t>test results and other measurements specifically undertaken to produce t</w:t>
            </w:r>
            <w:r w:rsidRPr="00DE66DB">
              <w:t>he required data.</w:t>
            </w:r>
          </w:p>
          <w:p w:rsidR="00000000" w:rsidP="00DE66DB">
            <w:pPr>
              <w:pStyle w:val="BodyText"/>
              <w:rPr>
                <w:lang w:val="en-NZ"/>
              </w:rPr>
            </w:pPr>
          </w:p>
        </w:tc>
      </w:tr>
      <w:tr w:rsidTr="00DE66D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DE66DB">
            <w:pPr>
              <w:pStyle w:val="BodyText"/>
              <w:rPr>
                <w:lang w:val="en-NZ"/>
              </w:rPr>
            </w:pPr>
            <w:r w:rsidRPr="00DE66DB">
              <w:rPr>
                <w:rStyle w:val="SpecialBold"/>
              </w:rPr>
              <w:t>Measurement and calculation techniques are defined by one or more of</w:t>
            </w:r>
          </w:p>
        </w:tc>
        <w:tc>
          <w:tcPr>
            <w:tcW w:w="6869" w:type="dxa"/>
            <w:tcBorders>
              <w:top w:val="nil"/>
              <w:left w:val="nil"/>
              <w:bottom w:val="nil"/>
              <w:right w:val="nil"/>
            </w:tcBorders>
            <w:tcMar>
              <w:top w:w="0" w:type="dxa"/>
              <w:left w:w="62" w:type="dxa"/>
              <w:bottom w:w="0" w:type="dxa"/>
              <w:right w:w="62" w:type="dxa"/>
            </w:tcMar>
          </w:tcPr>
          <w:p w:rsidR="00000000" w:rsidRPr="00DE66DB" w:rsidP="00DE66DB">
            <w:pPr>
              <w:pStyle w:val="ListBullet"/>
            </w:pPr>
            <w:r w:rsidRPr="00DE66DB">
              <w:t>regulations</w:t>
            </w:r>
          </w:p>
          <w:p w:rsidR="00000000" w:rsidRPr="00DE66DB" w:rsidP="00DE66DB">
            <w:pPr>
              <w:pStyle w:val="ListBullet"/>
            </w:pPr>
            <w:r w:rsidRPr="00DE66DB">
              <w:t>Australian (or other) Standards</w:t>
            </w:r>
          </w:p>
          <w:p w:rsidR="00000000" w:rsidRPr="00DE66DB" w:rsidP="00DE66DB">
            <w:pPr>
              <w:pStyle w:val="ListBullet"/>
            </w:pPr>
            <w:r w:rsidRPr="00DE66DB">
              <w:t>industry codes and protocols</w:t>
            </w:r>
          </w:p>
          <w:p w:rsidR="00000000" w:rsidRPr="00DE66DB" w:rsidP="00DE66DB">
            <w:pPr>
              <w:pStyle w:val="ListBullet"/>
            </w:pPr>
            <w:r w:rsidRPr="00DE66DB">
              <w:t>standard mathematical, statistical, science or other techniques for</w:t>
            </w:r>
            <w:r w:rsidRPr="00DE66DB">
              <w:t xml:space="preserve"> converting raw data into the required information.</w:t>
            </w:r>
          </w:p>
          <w:p w:rsidR="00000000" w:rsidRPr="00DE66DB" w:rsidP="00DE66DB">
            <w:pPr>
              <w:pStyle w:val="BodyText"/>
            </w:pPr>
          </w:p>
        </w:tc>
      </w:tr>
    </w:tbl>
    <w:p w:rsidR="00000000" w:rsidRPr="00DE66DB" w:rsidP="00DE66DB">
      <w:pPr>
        <w:pStyle w:val="BodyText"/>
      </w:pPr>
    </w:p>
    <w:p w:rsidR="00000000" w:rsidRPr="00DE66DB" w:rsidP="00DE66DB">
      <w:pPr>
        <w:pStyle w:val="AllowPageBreak"/>
      </w:pPr>
    </w:p>
    <w:p w:rsidR="00000000" w:rsidRPr="00DE66DB" w:rsidP="00DE66DB">
      <w:pPr>
        <w:pStyle w:val="Heading1"/>
      </w:pPr>
      <w:bookmarkStart w:id="9" w:name="O_923230"/>
      <w:bookmarkEnd w:id="9"/>
      <w:r w:rsidRPr="00DE66DB">
        <w:t>Unit Mapping Information</w:t>
      </w:r>
    </w:p>
    <w:p w:rsidR="00000000" w:rsidRPr="00DE66DB" w:rsidP="00DE66DB">
      <w:pPr>
        <w:pStyle w:val="BodyText"/>
      </w:pPr>
      <w:r w:rsidRPr="00DE66DB">
        <w:t xml:space="preserve">Release 1. Supersedes and is equivalent to MSS015017A Develop regulated sustainability reports. </w:t>
      </w:r>
    </w:p>
    <w:p w:rsidR="00000000" w:rsidRPr="00DE66DB" w:rsidP="00DE66DB">
      <w:pPr>
        <w:pStyle w:val="AllowPageBreak"/>
      </w:pPr>
    </w:p>
    <w:p w:rsidR="00000000" w:rsidRPr="00DE66DB" w:rsidP="00DE66DB">
      <w:pPr>
        <w:pStyle w:val="Heading1"/>
      </w:pPr>
      <w:bookmarkStart w:id="10" w:name="O_923223"/>
      <w:bookmarkEnd w:id="10"/>
      <w:r w:rsidRPr="00DE66DB">
        <w:t>Links</w:t>
      </w:r>
    </w:p>
    <w:p w:rsidR="00000000" w:rsidRPr="00DE66DB" w:rsidP="00DE66DB">
      <w:pPr>
        <w:pStyle w:val="BodyText"/>
      </w:pPr>
      <w:r w:rsidRPr="00DE66DB">
        <w:t>Companion Volume implementation guides are found in VETNet - https://vetnet.education.gov.au/Pages/TrainingDocs.aspx?q=5b04f318-804f-4dc0-9463-c3fb9a3fe998</w:t>
      </w:r>
    </w:p>
    <w:p w:rsidR="00000000" w:rsidRPr="00DE66DB" w:rsidP="00DE66DB"/>
    <w:sectPr w:rsidSect="00DE66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6DB" w:rsidRPr="00B17527" w:rsidP="00B17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27" w:rsidP="00DE6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7527" w:rsidP="00DE66D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7527" w:rsidP="00DE6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6DB" w:rsidRPr="00B17527" w:rsidP="00B17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27" w:rsidRPr="002D2AF8" w:rsidP="00DE66DB">
    <w:pPr>
      <w:pStyle w:val="Header"/>
      <w:framePr w:wrap="around"/>
    </w:pPr>
    <w:r>
      <w:fldChar w:fldCharType="begin"/>
    </w:r>
    <w:r>
      <w:instrText xml:space="preserve"> TITLE   \* MERGEFORMAT </w:instrText>
    </w:r>
    <w:r>
      <w:fldChar w:fldCharType="separate"/>
    </w:r>
    <w:r>
      <w:t>MSS015017 Develop regulated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17527" w:rsidP="00DE6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F6A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E64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6DB"/>
    <w:pPr>
      <w:spacing w:before="360" w:after="60"/>
      <w:outlineLvl w:val="0"/>
    </w:pPr>
    <w:rPr>
      <w:sz w:val="32"/>
    </w:rPr>
  </w:style>
  <w:style w:type="paragraph" w:styleId="Heading2">
    <w:name w:val="heading 2"/>
    <w:basedOn w:val="HeadingBase"/>
    <w:next w:val="BodyText"/>
    <w:link w:val="Heading2Char"/>
    <w:qFormat/>
    <w:rsid w:val="00DE66DB"/>
    <w:pPr>
      <w:keepLines/>
      <w:spacing w:before="240" w:after="120"/>
      <w:outlineLvl w:val="1"/>
    </w:pPr>
    <w:rPr>
      <w:sz w:val="28"/>
      <w:szCs w:val="40"/>
    </w:rPr>
  </w:style>
  <w:style w:type="paragraph" w:styleId="Heading3">
    <w:name w:val="heading 3"/>
    <w:basedOn w:val="HeadingBase"/>
    <w:next w:val="BodyText"/>
    <w:link w:val="Heading3Char"/>
    <w:qFormat/>
    <w:rsid w:val="00DE66DB"/>
    <w:pPr>
      <w:spacing w:before="180" w:after="120"/>
      <w:outlineLvl w:val="2"/>
    </w:pPr>
    <w:rPr>
      <w:spacing w:val="-10"/>
      <w:kern w:val="32"/>
    </w:rPr>
  </w:style>
  <w:style w:type="paragraph" w:styleId="Heading4">
    <w:name w:val="heading 4"/>
    <w:basedOn w:val="HeadingBase"/>
    <w:next w:val="BodyText"/>
    <w:link w:val="Heading4Char"/>
    <w:qFormat/>
    <w:rsid w:val="00DE66DB"/>
    <w:pPr>
      <w:spacing w:before="160" w:after="120"/>
      <w:outlineLvl w:val="3"/>
    </w:pPr>
    <w:rPr>
      <w:sz w:val="22"/>
    </w:rPr>
  </w:style>
  <w:style w:type="paragraph" w:styleId="Heading5">
    <w:name w:val="heading 5"/>
    <w:basedOn w:val="HeadingBase"/>
    <w:next w:val="Normal"/>
    <w:link w:val="Heading5Char"/>
    <w:qFormat/>
    <w:rsid w:val="00DE66DB"/>
    <w:pPr>
      <w:spacing w:before="80"/>
      <w:outlineLvl w:val="4"/>
    </w:pPr>
    <w:rPr>
      <w:color w:val="918585"/>
      <w:sz w:val="20"/>
    </w:rPr>
  </w:style>
  <w:style w:type="paragraph" w:styleId="Heading6">
    <w:name w:val="heading 6"/>
    <w:basedOn w:val="HeadingBase"/>
    <w:next w:val="Normal"/>
    <w:link w:val="Heading6Char"/>
    <w:qFormat/>
    <w:rsid w:val="00DE66DB"/>
    <w:pPr>
      <w:spacing w:before="60"/>
      <w:outlineLvl w:val="5"/>
    </w:pPr>
    <w:rPr>
      <w:color w:val="918585"/>
      <w:sz w:val="20"/>
    </w:rPr>
  </w:style>
  <w:style w:type="paragraph" w:styleId="Heading7">
    <w:name w:val="heading 7"/>
    <w:basedOn w:val="Normal"/>
    <w:next w:val="Normal"/>
    <w:link w:val="Heading7Char"/>
    <w:qFormat/>
    <w:rsid w:val="00DE66DB"/>
    <w:pPr>
      <w:ind w:left="720"/>
      <w:outlineLvl w:val="6"/>
    </w:pPr>
    <w:rPr>
      <w:i/>
    </w:rPr>
  </w:style>
  <w:style w:type="paragraph" w:styleId="Heading8">
    <w:name w:val="heading 8"/>
    <w:basedOn w:val="Normal"/>
    <w:next w:val="Normal"/>
    <w:link w:val="Heading8Char"/>
    <w:qFormat/>
    <w:rsid w:val="00DE66DB"/>
    <w:pPr>
      <w:ind w:left="720"/>
      <w:outlineLvl w:val="7"/>
    </w:pPr>
    <w:rPr>
      <w:i/>
    </w:rPr>
  </w:style>
  <w:style w:type="paragraph" w:styleId="Heading9">
    <w:name w:val="heading 9"/>
    <w:basedOn w:val="Normal"/>
    <w:next w:val="Normal"/>
    <w:link w:val="Heading9Char"/>
    <w:qFormat/>
    <w:rsid w:val="00DE66DB"/>
    <w:pPr>
      <w:ind w:left="720"/>
      <w:outlineLvl w:val="8"/>
    </w:pPr>
    <w:rPr>
      <w:i/>
    </w:rPr>
  </w:style>
  <w:style w:type="character" w:default="1" w:styleId="DefaultParagraphFont">
    <w:name w:val="Default Paragraph Font"/>
    <w:uiPriority w:val="1"/>
    <w:unhideWhenUsed/>
    <w:rsid w:val="00DE6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6DB"/>
  </w:style>
  <w:style w:type="character" w:customStyle="1" w:styleId="Heading1Char">
    <w:name w:val="Heading 1 Char"/>
    <w:basedOn w:val="DefaultParagraphFont"/>
    <w:link w:val="Heading1"/>
    <w:rsid w:val="00DE66DB"/>
    <w:rPr>
      <w:rFonts w:ascii="Times New Roman" w:eastAsia="Times New Roman" w:hAnsi="Times New Roman" w:cs="Times New Roman"/>
      <w:b/>
      <w:sz w:val="32"/>
      <w:szCs w:val="20"/>
      <w:lang w:eastAsia="en-US"/>
    </w:rPr>
  </w:style>
  <w:style w:type="paragraph" w:styleId="BodyText">
    <w:name w:val="Body Text"/>
    <w:basedOn w:val="Normal"/>
    <w:link w:val="BodyTextChar"/>
    <w:rsid w:val="00DE6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6DB"/>
    <w:rPr>
      <w:rFonts w:ascii="Times New Roman" w:eastAsia="Times New Roman" w:hAnsi="Times New Roman" w:cs="Times New Roman"/>
      <w:sz w:val="24"/>
      <w:lang w:eastAsia="en-US"/>
    </w:rPr>
  </w:style>
  <w:style w:type="paragraph" w:styleId="ListBullet">
    <w:name w:val="List Bullet"/>
    <w:basedOn w:val="List"/>
    <w:rsid w:val="00DE66DB"/>
    <w:pPr>
      <w:numPr>
        <w:numId w:val="12"/>
      </w:numPr>
      <w:tabs>
        <w:tab w:val="clear" w:pos="340"/>
      </w:tabs>
      <w:spacing w:before="40" w:after="40"/>
    </w:pPr>
  </w:style>
  <w:style w:type="character" w:customStyle="1" w:styleId="SpecialBold">
    <w:name w:val="Special Bold"/>
    <w:basedOn w:val="DefaultParagraphFont"/>
    <w:rsid w:val="00DE66DB"/>
    <w:rPr>
      <w:b/>
      <w:spacing w:val="0"/>
    </w:rPr>
  </w:style>
  <w:style w:type="paragraph" w:customStyle="1" w:styleId="SuperHeading">
    <w:name w:val="SuperHeading"/>
    <w:basedOn w:val="Normal"/>
    <w:rsid w:val="00DE66DB"/>
    <w:pPr>
      <w:spacing w:before="240" w:after="120"/>
      <w:outlineLvl w:val="0"/>
    </w:pPr>
    <w:rPr>
      <w:rFonts w:ascii="Times New Roman" w:hAnsi="Times New Roman"/>
      <w:b/>
      <w:sz w:val="32"/>
    </w:rPr>
  </w:style>
  <w:style w:type="paragraph" w:customStyle="1" w:styleId="AllowPageBreak">
    <w:name w:val="AllowPageBreak"/>
    <w:rsid w:val="00DE6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6DB"/>
    <w:rPr>
      <w:rFonts w:ascii="Courier New" w:eastAsia="Times New Roman" w:hAnsi="Courier New" w:cs="Times New Roman"/>
      <w:i/>
      <w:szCs w:val="20"/>
      <w:lang w:eastAsia="en-US"/>
    </w:rPr>
  </w:style>
  <w:style w:type="paragraph" w:customStyle="1" w:styleId="HeadingBase">
    <w:name w:val="Heading Base"/>
    <w:rsid w:val="00DE6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6DB"/>
    <w:pPr>
      <w:tabs>
        <w:tab w:val="right" w:leader="dot" w:pos="9072"/>
      </w:tabs>
      <w:ind w:left="567"/>
    </w:pPr>
    <w:rPr>
      <w:szCs w:val="22"/>
    </w:rPr>
  </w:style>
  <w:style w:type="paragraph" w:customStyle="1" w:styleId="TOCBase">
    <w:name w:val="TOC Base"/>
    <w:rsid w:val="00DE6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6DB"/>
    <w:pPr>
      <w:tabs>
        <w:tab w:val="right" w:leader="dot" w:pos="9072"/>
      </w:tabs>
      <w:spacing w:before="40" w:after="40"/>
      <w:ind w:left="284"/>
    </w:pPr>
    <w:rPr>
      <w:rFonts w:ascii="Times New Roman" w:hAnsi="Times New Roman"/>
    </w:rPr>
  </w:style>
  <w:style w:type="paragraph" w:styleId="TOC1">
    <w:name w:val="toc 1"/>
    <w:basedOn w:val="TOCBase"/>
    <w:next w:val="Normal"/>
    <w:rsid w:val="00DE6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6DB"/>
    <w:rPr>
      <w:rFonts w:ascii="Times New Roman" w:eastAsia="Times New Roman" w:hAnsi="Times New Roman" w:cs="Times New Roman"/>
      <w:sz w:val="16"/>
      <w:lang w:eastAsia="en-US"/>
    </w:rPr>
  </w:style>
  <w:style w:type="paragraph" w:styleId="Title">
    <w:name w:val="Title"/>
    <w:basedOn w:val="HeadingBase"/>
    <w:link w:val="TitleChar"/>
    <w:qFormat/>
    <w:rsid w:val="00DE66DB"/>
    <w:pPr>
      <w:spacing w:before="5040"/>
      <w:jc w:val="center"/>
    </w:pPr>
    <w:rPr>
      <w:sz w:val="48"/>
      <w:szCs w:val="72"/>
      <w:lang w:val="en-US"/>
    </w:rPr>
  </w:style>
  <w:style w:type="character" w:customStyle="1" w:styleId="TitleChar">
    <w:name w:val="Title Char"/>
    <w:basedOn w:val="DefaultParagraphFont"/>
    <w:link w:val="Title"/>
    <w:rsid w:val="00DE6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6DB"/>
    <w:pPr>
      <w:tabs>
        <w:tab w:val="left" w:pos="3600"/>
        <w:tab w:val="left" w:pos="3958"/>
      </w:tabs>
    </w:pPr>
  </w:style>
  <w:style w:type="paragraph" w:styleId="List">
    <w:name w:val="List"/>
    <w:basedOn w:val="BodyText"/>
    <w:next w:val="BodyText"/>
    <w:rsid w:val="00DE66DB"/>
    <w:pPr>
      <w:tabs>
        <w:tab w:val="left" w:pos="340"/>
      </w:tabs>
      <w:spacing w:before="60" w:after="60"/>
      <w:ind w:left="340" w:hanging="340"/>
    </w:pPr>
  </w:style>
  <w:style w:type="paragraph" w:customStyle="1" w:styleId="Note">
    <w:name w:val="Note"/>
    <w:basedOn w:val="BodyText"/>
    <w:rsid w:val="00DE6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6DB"/>
    <w:pPr>
      <w:framePr w:wrap="auto" w:hAnchor="text" w:y="6049"/>
    </w:pPr>
    <w:rPr>
      <w:color w:val="000000"/>
      <w:sz w:val="40"/>
    </w:rPr>
  </w:style>
  <w:style w:type="paragraph" w:customStyle="1" w:styleId="TOCTitle">
    <w:name w:val="TOCTitle"/>
    <w:basedOn w:val="Heading1"/>
    <w:rsid w:val="00DE66DB"/>
    <w:pPr>
      <w:spacing w:after="240"/>
      <w:jc w:val="center"/>
      <w:outlineLvl w:val="9"/>
    </w:pPr>
    <w:rPr>
      <w:caps/>
    </w:rPr>
  </w:style>
  <w:style w:type="paragraph" w:customStyle="1" w:styleId="Version">
    <w:name w:val="Version"/>
    <w:rsid w:val="00DE6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6DB"/>
    <w:pPr>
      <w:numPr>
        <w:numId w:val="13"/>
      </w:numPr>
      <w:tabs>
        <w:tab w:val="clear" w:pos="680"/>
      </w:tabs>
    </w:pPr>
  </w:style>
  <w:style w:type="paragraph" w:styleId="Index1">
    <w:name w:val="index 1"/>
    <w:basedOn w:val="Normal"/>
    <w:next w:val="Normal"/>
    <w:semiHidden/>
    <w:rsid w:val="00DE66DB"/>
    <w:pPr>
      <w:keepNext w:val="0"/>
      <w:tabs>
        <w:tab w:val="right" w:pos="4176"/>
      </w:tabs>
      <w:ind w:left="198" w:hanging="198"/>
    </w:pPr>
    <w:rPr>
      <w:rFonts w:ascii="Garamond" w:hAnsi="Garamond"/>
    </w:rPr>
  </w:style>
  <w:style w:type="paragraph" w:styleId="IndexHeading">
    <w:name w:val="index heading"/>
    <w:basedOn w:val="Normal"/>
    <w:next w:val="Index1"/>
    <w:semiHidden/>
    <w:rsid w:val="00DE66DB"/>
    <w:pPr>
      <w:spacing w:before="120" w:after="120"/>
    </w:pPr>
    <w:rPr>
      <w:rFonts w:ascii="Arial" w:hAnsi="Arial"/>
      <w:b/>
      <w:color w:val="918585"/>
      <w:sz w:val="24"/>
    </w:rPr>
  </w:style>
  <w:style w:type="paragraph" w:styleId="Header">
    <w:name w:val="header"/>
    <w:basedOn w:val="Normal"/>
    <w:link w:val="HeaderChar"/>
    <w:rsid w:val="00DE6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6DB"/>
    <w:rPr>
      <w:rFonts w:ascii="Times New Roman" w:eastAsia="Times New Roman" w:hAnsi="Times New Roman" w:cs="Times New Roman"/>
      <w:sz w:val="16"/>
      <w:szCs w:val="20"/>
      <w:lang w:val="en-GB" w:eastAsia="en-US"/>
    </w:rPr>
  </w:style>
  <w:style w:type="paragraph" w:customStyle="1" w:styleId="Chapter">
    <w:name w:val="Chapter"/>
    <w:basedOn w:val="Normal"/>
    <w:rsid w:val="00DE66DB"/>
    <w:pPr>
      <w:spacing w:before="240"/>
    </w:pPr>
    <w:rPr>
      <w:rFonts w:ascii="Times New Roman" w:hAnsi="Times New Roman"/>
      <w:smallCaps/>
      <w:spacing w:val="80"/>
      <w:sz w:val="28"/>
    </w:rPr>
  </w:style>
  <w:style w:type="paragraph" w:customStyle="1" w:styleId="InChapter">
    <w:name w:val="InChapter"/>
    <w:basedOn w:val="Heading3"/>
    <w:rsid w:val="00DE66DB"/>
    <w:pPr>
      <w:spacing w:after="240"/>
      <w:outlineLvl w:val="9"/>
    </w:pPr>
    <w:rPr>
      <w:noProof/>
    </w:rPr>
  </w:style>
  <w:style w:type="paragraph" w:styleId="Index2">
    <w:name w:val="index 2"/>
    <w:basedOn w:val="Normal"/>
    <w:next w:val="Normal"/>
    <w:semiHidden/>
    <w:rsid w:val="00DE66DB"/>
    <w:pPr>
      <w:tabs>
        <w:tab w:val="right" w:pos="4176"/>
      </w:tabs>
      <w:ind w:left="568" w:hanging="284"/>
    </w:pPr>
    <w:rPr>
      <w:rFonts w:ascii="Garamond" w:hAnsi="Garamond"/>
    </w:rPr>
  </w:style>
  <w:style w:type="paragraph" w:customStyle="1" w:styleId="Byline">
    <w:name w:val="Byline"/>
    <w:rsid w:val="00DE6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6DB"/>
    <w:pPr>
      <w:tabs>
        <w:tab w:val="clear" w:pos="3600"/>
        <w:tab w:val="clear" w:pos="3958"/>
      </w:tabs>
      <w:jc w:val="right"/>
    </w:pPr>
  </w:style>
  <w:style w:type="character" w:styleId="Emphasis">
    <w:name w:val="Emphasis"/>
    <w:basedOn w:val="DefaultParagraphFont"/>
    <w:qFormat/>
    <w:rsid w:val="00DE66DB"/>
    <w:rPr>
      <w:i/>
    </w:rPr>
  </w:style>
  <w:style w:type="paragraph" w:styleId="Caption">
    <w:name w:val="caption"/>
    <w:basedOn w:val="BodyText"/>
    <w:next w:val="Normal"/>
    <w:qFormat/>
    <w:rsid w:val="00DE66DB"/>
    <w:pPr>
      <w:framePr w:w="2268" w:hSpace="181" w:vSpace="181" w:wrap="around" w:vAnchor="text" w:hAnchor="page" w:x="1135" w:y="285" w:anchorLock="1"/>
    </w:pPr>
    <w:rPr>
      <w:i/>
    </w:rPr>
  </w:style>
  <w:style w:type="paragraph" w:customStyle="1" w:styleId="MiniTOCTitle">
    <w:name w:val="MiniTOCTitle"/>
    <w:basedOn w:val="Heading4"/>
    <w:rsid w:val="00DE66DB"/>
    <w:pPr>
      <w:spacing w:before="240"/>
      <w:outlineLvl w:val="9"/>
    </w:pPr>
    <w:rPr>
      <w:noProof/>
      <w:sz w:val="24"/>
    </w:rPr>
  </w:style>
  <w:style w:type="paragraph" w:customStyle="1" w:styleId="MiniTOCItem">
    <w:name w:val="MiniTOCItem"/>
    <w:basedOn w:val="ListBullet"/>
    <w:rsid w:val="00DE66DB"/>
    <w:pPr>
      <w:numPr>
        <w:numId w:val="0"/>
      </w:numPr>
      <w:tabs>
        <w:tab w:val="right" w:leader="dot" w:pos="6521"/>
      </w:tabs>
      <w:spacing w:before="0" w:after="0"/>
    </w:pPr>
  </w:style>
  <w:style w:type="paragraph" w:customStyle="1" w:styleId="TOFTitle">
    <w:name w:val="TOFTitle"/>
    <w:basedOn w:val="TOCTitle"/>
    <w:rsid w:val="00DE66DB"/>
  </w:style>
  <w:style w:type="paragraph" w:styleId="TableofFigures">
    <w:name w:val="table of figures"/>
    <w:basedOn w:val="Normal"/>
    <w:next w:val="Normal"/>
    <w:semiHidden/>
    <w:rsid w:val="00DE66DB"/>
    <w:pPr>
      <w:tabs>
        <w:tab w:val="right" w:leader="dot" w:pos="9072"/>
      </w:tabs>
      <w:ind w:left="970" w:hanging="403"/>
    </w:pPr>
    <w:rPr>
      <w:rFonts w:ascii="Times New Roman" w:hAnsi="Times New Roman"/>
      <w:b/>
    </w:rPr>
  </w:style>
  <w:style w:type="paragraph" w:styleId="ListNumber">
    <w:name w:val="List Number"/>
    <w:basedOn w:val="List"/>
    <w:rsid w:val="00DE66DB"/>
    <w:pPr>
      <w:numPr>
        <w:numId w:val="10"/>
      </w:numPr>
    </w:pPr>
  </w:style>
  <w:style w:type="character" w:customStyle="1" w:styleId="WingdingSymbols">
    <w:name w:val="Wingding Symbols"/>
    <w:rsid w:val="00DE66DB"/>
    <w:rPr>
      <w:rFonts w:ascii="Wingdings" w:hAnsi="Wingdings"/>
    </w:rPr>
  </w:style>
  <w:style w:type="paragraph" w:customStyle="1" w:styleId="TableHeading">
    <w:name w:val="Table Heading"/>
    <w:basedOn w:val="HeadingBase"/>
    <w:rsid w:val="00DE66DB"/>
    <w:pPr>
      <w:keepLines/>
      <w:pBdr>
        <w:bottom w:val="single" w:sz="6" w:space="1" w:color="918585"/>
      </w:pBdr>
      <w:spacing w:before="240"/>
    </w:pPr>
  </w:style>
  <w:style w:type="character" w:customStyle="1" w:styleId="HotSpot">
    <w:name w:val="HotSpot"/>
    <w:rsid w:val="00DE66DB"/>
    <w:rPr>
      <w:color w:val="0033CC"/>
      <w:u w:val="none"/>
    </w:rPr>
  </w:style>
  <w:style w:type="paragraph" w:customStyle="1" w:styleId="BodyTextRight">
    <w:name w:val="Body Text Right"/>
    <w:basedOn w:val="BodyText"/>
    <w:rsid w:val="00DE66DB"/>
    <w:pPr>
      <w:spacing w:before="0" w:after="0"/>
      <w:jc w:val="right"/>
    </w:pPr>
  </w:style>
  <w:style w:type="paragraph" w:styleId="Index3">
    <w:name w:val="index 3"/>
    <w:basedOn w:val="ListNumber2"/>
    <w:next w:val="Normal"/>
    <w:semiHidden/>
    <w:rsid w:val="00DE66DB"/>
    <w:pPr>
      <w:numPr>
        <w:numId w:val="0"/>
      </w:numPr>
      <w:tabs>
        <w:tab w:val="right" w:leader="dot" w:pos="4176"/>
      </w:tabs>
    </w:pPr>
  </w:style>
  <w:style w:type="paragraph" w:styleId="ListNumber2">
    <w:name w:val="List Number 2"/>
    <w:basedOn w:val="List2"/>
    <w:rsid w:val="00DE66DB"/>
    <w:pPr>
      <w:numPr>
        <w:numId w:val="9"/>
      </w:numPr>
      <w:tabs>
        <w:tab w:val="clear" w:pos="1060"/>
      </w:tabs>
    </w:pPr>
  </w:style>
  <w:style w:type="paragraph" w:customStyle="1" w:styleId="MarginNote">
    <w:name w:val="Margin Note"/>
    <w:basedOn w:val="BodyText"/>
    <w:rsid w:val="00DE6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6DB"/>
    <w:rPr>
      <w:sz w:val="32"/>
    </w:rPr>
  </w:style>
  <w:style w:type="paragraph" w:customStyle="1" w:styleId="HeadingProcedure">
    <w:name w:val="Heading Procedure"/>
    <w:basedOn w:val="HeadingBase"/>
    <w:next w:val="Normal"/>
    <w:rsid w:val="00DE66DB"/>
    <w:pPr>
      <w:tabs>
        <w:tab w:val="left" w:pos="0"/>
      </w:tabs>
      <w:spacing w:before="120" w:after="60"/>
    </w:pPr>
    <w:rPr>
      <w:i/>
      <w:color w:val="918585"/>
      <w:sz w:val="22"/>
    </w:rPr>
  </w:style>
  <w:style w:type="paragraph" w:customStyle="1" w:styleId="TableBodyText">
    <w:name w:val="Table Body Text"/>
    <w:basedOn w:val="BodyText"/>
    <w:rsid w:val="00DE66DB"/>
    <w:pPr>
      <w:spacing w:before="60" w:after="60"/>
    </w:pPr>
  </w:style>
  <w:style w:type="paragraph" w:styleId="ListContinue">
    <w:name w:val="List Continue"/>
    <w:basedOn w:val="List"/>
    <w:rsid w:val="00DE66DB"/>
    <w:pPr>
      <w:ind w:firstLine="0"/>
    </w:pPr>
  </w:style>
  <w:style w:type="paragraph" w:customStyle="1" w:styleId="ListNote">
    <w:name w:val="List Note"/>
    <w:basedOn w:val="List"/>
    <w:rsid w:val="00DE66DB"/>
    <w:pPr>
      <w:pBdr>
        <w:top w:val="single" w:sz="6" w:space="2" w:color="918585"/>
        <w:bottom w:val="single" w:sz="6" w:space="2" w:color="918585"/>
      </w:pBdr>
      <w:tabs>
        <w:tab w:val="left" w:pos="1021"/>
      </w:tabs>
      <w:ind w:firstLine="0"/>
    </w:pPr>
  </w:style>
  <w:style w:type="paragraph" w:customStyle="1" w:styleId="Warning">
    <w:name w:val="Warning"/>
    <w:basedOn w:val="BodyText"/>
    <w:rsid w:val="00DE66DB"/>
    <w:pPr>
      <w:shd w:val="clear" w:color="auto" w:fill="D9D9D9"/>
      <w:tabs>
        <w:tab w:val="left" w:pos="992"/>
      </w:tabs>
      <w:ind w:left="119" w:right="119"/>
    </w:pPr>
    <w:rPr>
      <w:sz w:val="20"/>
    </w:rPr>
  </w:style>
  <w:style w:type="paragraph" w:customStyle="1" w:styleId="MarginIcons">
    <w:name w:val="Margin Icons"/>
    <w:basedOn w:val="BodyText"/>
    <w:rsid w:val="00DE6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6DB"/>
    <w:rPr>
      <w:rFonts w:ascii="Courier New" w:hAnsi="Courier New"/>
    </w:rPr>
  </w:style>
  <w:style w:type="paragraph" w:customStyle="1" w:styleId="NoteBullet">
    <w:name w:val="Note Bullet"/>
    <w:basedOn w:val="Note"/>
    <w:rsid w:val="00DE66DB"/>
    <w:pPr>
      <w:tabs>
        <w:tab w:val="clear" w:pos="680"/>
      </w:tabs>
      <w:spacing w:before="60" w:after="60"/>
    </w:pPr>
  </w:style>
  <w:style w:type="paragraph" w:customStyle="1" w:styleId="SubHeading2">
    <w:name w:val="SubHeading2"/>
    <w:basedOn w:val="HeadingBase"/>
    <w:rsid w:val="00DE66DB"/>
    <w:pPr>
      <w:spacing w:before="240" w:after="60"/>
    </w:pPr>
    <w:rPr>
      <w:sz w:val="20"/>
    </w:rPr>
  </w:style>
  <w:style w:type="paragraph" w:customStyle="1" w:styleId="SubHeading1">
    <w:name w:val="SubHeading1"/>
    <w:basedOn w:val="HeadingBase"/>
    <w:rsid w:val="00DE66DB"/>
    <w:pPr>
      <w:spacing w:before="240" w:after="60"/>
    </w:pPr>
    <w:rPr>
      <w:color w:val="918585"/>
      <w:sz w:val="22"/>
    </w:rPr>
  </w:style>
  <w:style w:type="paragraph" w:customStyle="1" w:styleId="SideHeading">
    <w:name w:val="Side Heading"/>
    <w:basedOn w:val="HeadingBase"/>
    <w:rsid w:val="00DE6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6DB"/>
    <w:pPr>
      <w:tabs>
        <w:tab w:val="num" w:pos="360"/>
      </w:tabs>
    </w:pPr>
  </w:style>
  <w:style w:type="paragraph" w:styleId="PlainText">
    <w:name w:val="Plain Text"/>
    <w:basedOn w:val="Normal"/>
    <w:link w:val="PlainTextChar"/>
    <w:rsid w:val="00DE66DB"/>
    <w:rPr>
      <w:sz w:val="20"/>
    </w:rPr>
  </w:style>
  <w:style w:type="character" w:customStyle="1" w:styleId="PlainTextChar">
    <w:name w:val="Plain Text Char"/>
    <w:basedOn w:val="DefaultParagraphFont"/>
    <w:link w:val="PlainText"/>
    <w:rsid w:val="00DE66DB"/>
    <w:rPr>
      <w:rFonts w:ascii="Courier New" w:eastAsia="Times New Roman" w:hAnsi="Courier New" w:cs="Times New Roman"/>
      <w:sz w:val="20"/>
      <w:szCs w:val="20"/>
      <w:lang w:eastAsia="en-US"/>
    </w:rPr>
  </w:style>
  <w:style w:type="character" w:customStyle="1" w:styleId="MenuOption">
    <w:name w:val="Menu Option"/>
    <w:basedOn w:val="DefaultParagraphFont"/>
    <w:rsid w:val="00DE66DB"/>
    <w:rPr>
      <w:b/>
      <w:smallCaps/>
    </w:rPr>
  </w:style>
  <w:style w:type="paragraph" w:customStyle="1" w:styleId="TableListNumber">
    <w:name w:val="Table List Number"/>
    <w:basedOn w:val="ListNumber"/>
    <w:rsid w:val="00DE66DB"/>
    <w:pPr>
      <w:numPr>
        <w:numId w:val="0"/>
      </w:numPr>
    </w:pPr>
  </w:style>
  <w:style w:type="paragraph" w:styleId="TOC4">
    <w:name w:val="toc 4"/>
    <w:basedOn w:val="TOCBase"/>
    <w:next w:val="Normal"/>
    <w:semiHidden/>
    <w:rsid w:val="00DE66DB"/>
    <w:pPr>
      <w:tabs>
        <w:tab w:val="right" w:leader="dot" w:pos="9071"/>
      </w:tabs>
      <w:ind w:left="1701"/>
    </w:pPr>
  </w:style>
  <w:style w:type="paragraph" w:customStyle="1" w:styleId="ListAlpha">
    <w:name w:val="List Alpha"/>
    <w:basedOn w:val="List"/>
    <w:rsid w:val="00DE66DB"/>
    <w:pPr>
      <w:numPr>
        <w:numId w:val="8"/>
      </w:numPr>
    </w:pPr>
  </w:style>
  <w:style w:type="paragraph" w:customStyle="1" w:styleId="ListAlpha2">
    <w:name w:val="List Alpha 2"/>
    <w:basedOn w:val="List2"/>
    <w:rsid w:val="00DE66DB"/>
    <w:pPr>
      <w:numPr>
        <w:numId w:val="7"/>
      </w:numPr>
    </w:pPr>
  </w:style>
  <w:style w:type="paragraph" w:styleId="List2">
    <w:name w:val="List 2"/>
    <w:basedOn w:val="BodyText"/>
    <w:rsid w:val="00DE66DB"/>
    <w:pPr>
      <w:tabs>
        <w:tab w:val="left" w:pos="680"/>
      </w:tabs>
      <w:spacing w:before="60" w:after="60"/>
      <w:ind w:left="680" w:hanging="340"/>
    </w:pPr>
  </w:style>
  <w:style w:type="paragraph" w:styleId="List3">
    <w:name w:val="List 3"/>
    <w:basedOn w:val="BodyText"/>
    <w:rsid w:val="00DE66DB"/>
    <w:pPr>
      <w:tabs>
        <w:tab w:val="left" w:pos="1021"/>
      </w:tabs>
      <w:spacing w:before="60" w:after="60"/>
      <w:ind w:left="1020" w:hanging="340"/>
    </w:pPr>
  </w:style>
  <w:style w:type="paragraph" w:styleId="List4">
    <w:name w:val="List 4"/>
    <w:basedOn w:val="BodyText"/>
    <w:rsid w:val="00DE66DB"/>
    <w:pPr>
      <w:tabs>
        <w:tab w:val="left" w:pos="1361"/>
      </w:tabs>
      <w:spacing w:before="60" w:after="60"/>
      <w:ind w:left="1361" w:hanging="340"/>
    </w:pPr>
  </w:style>
  <w:style w:type="paragraph" w:styleId="List5">
    <w:name w:val="List 5"/>
    <w:basedOn w:val="BodyText"/>
    <w:rsid w:val="00DE66DB"/>
    <w:pPr>
      <w:tabs>
        <w:tab w:val="left" w:pos="1701"/>
      </w:tabs>
      <w:spacing w:before="60" w:after="60"/>
      <w:ind w:left="1701" w:hanging="340"/>
    </w:pPr>
  </w:style>
  <w:style w:type="paragraph" w:styleId="ListBullet3">
    <w:name w:val="List Bullet 3"/>
    <w:basedOn w:val="List3"/>
    <w:rsid w:val="00DE66DB"/>
    <w:pPr>
      <w:numPr>
        <w:numId w:val="14"/>
      </w:numPr>
      <w:tabs>
        <w:tab w:val="clear" w:pos="1021"/>
      </w:tabs>
      <w:ind w:left="1037" w:hanging="357"/>
    </w:pPr>
  </w:style>
  <w:style w:type="paragraph" w:styleId="ListBullet4">
    <w:name w:val="List Bullet 4"/>
    <w:basedOn w:val="List4"/>
    <w:rsid w:val="00DE66DB"/>
    <w:pPr>
      <w:numPr>
        <w:numId w:val="2"/>
      </w:numPr>
      <w:tabs>
        <w:tab w:val="clear" w:pos="1361"/>
      </w:tabs>
    </w:pPr>
  </w:style>
  <w:style w:type="paragraph" w:styleId="ListBullet5">
    <w:name w:val="List Bullet 5"/>
    <w:basedOn w:val="List5"/>
    <w:rsid w:val="00DE66DB"/>
    <w:pPr>
      <w:numPr>
        <w:numId w:val="3"/>
      </w:numPr>
    </w:pPr>
  </w:style>
  <w:style w:type="paragraph" w:styleId="ListContinue2">
    <w:name w:val="List Continue 2"/>
    <w:basedOn w:val="List2"/>
    <w:rsid w:val="00DE66DB"/>
    <w:pPr>
      <w:ind w:firstLine="0"/>
    </w:pPr>
  </w:style>
  <w:style w:type="paragraph" w:styleId="ListContinue3">
    <w:name w:val="List Continue 3"/>
    <w:basedOn w:val="List3"/>
    <w:rsid w:val="00DE66DB"/>
    <w:pPr>
      <w:ind w:left="1021" w:firstLine="0"/>
    </w:pPr>
  </w:style>
  <w:style w:type="paragraph" w:styleId="ListContinue4">
    <w:name w:val="List Continue 4"/>
    <w:basedOn w:val="List4"/>
    <w:rsid w:val="00DE66DB"/>
    <w:pPr>
      <w:ind w:firstLine="0"/>
    </w:pPr>
  </w:style>
  <w:style w:type="paragraph" w:styleId="ListContinue5">
    <w:name w:val="List Continue 5"/>
    <w:basedOn w:val="List5"/>
    <w:rsid w:val="00DE66DB"/>
    <w:pPr>
      <w:ind w:firstLine="0"/>
    </w:pPr>
  </w:style>
  <w:style w:type="paragraph" w:styleId="ListNumber3">
    <w:name w:val="List Number 3"/>
    <w:basedOn w:val="List3"/>
    <w:rsid w:val="00DE66DB"/>
    <w:pPr>
      <w:numPr>
        <w:numId w:val="4"/>
      </w:numPr>
    </w:pPr>
  </w:style>
  <w:style w:type="paragraph" w:styleId="ListNumber4">
    <w:name w:val="List Number 4"/>
    <w:basedOn w:val="List4"/>
    <w:rsid w:val="00DE66DB"/>
    <w:pPr>
      <w:numPr>
        <w:numId w:val="5"/>
      </w:numPr>
    </w:pPr>
  </w:style>
  <w:style w:type="paragraph" w:styleId="ListNumber5">
    <w:name w:val="List Number 5"/>
    <w:basedOn w:val="List5"/>
    <w:rsid w:val="00DE66DB"/>
    <w:pPr>
      <w:numPr>
        <w:numId w:val="6"/>
      </w:numPr>
    </w:pPr>
  </w:style>
  <w:style w:type="paragraph" w:styleId="BlockText">
    <w:name w:val="Block Text"/>
    <w:basedOn w:val="Normal"/>
    <w:rsid w:val="00DE66DB"/>
    <w:pPr>
      <w:spacing w:after="120"/>
      <w:ind w:left="1440" w:right="1440"/>
    </w:pPr>
  </w:style>
  <w:style w:type="character" w:customStyle="1" w:styleId="Subscript">
    <w:name w:val="Subscript"/>
    <w:basedOn w:val="DefaultParagraphFont"/>
    <w:rsid w:val="00DE66DB"/>
    <w:rPr>
      <w:sz w:val="16"/>
      <w:vertAlign w:val="subscript"/>
    </w:rPr>
  </w:style>
  <w:style w:type="character" w:customStyle="1" w:styleId="Superscript">
    <w:name w:val="Superscript"/>
    <w:basedOn w:val="DefaultParagraphFont"/>
    <w:rsid w:val="00DE66DB"/>
    <w:rPr>
      <w:sz w:val="16"/>
      <w:vertAlign w:val="superscript"/>
    </w:rPr>
  </w:style>
  <w:style w:type="character" w:customStyle="1" w:styleId="Symbols">
    <w:name w:val="Symbols"/>
    <w:basedOn w:val="DefaultParagraphFont"/>
    <w:rsid w:val="00DE66DB"/>
    <w:rPr>
      <w:rFonts w:ascii="Symbol" w:hAnsi="Symbol"/>
    </w:rPr>
  </w:style>
  <w:style w:type="character" w:customStyle="1" w:styleId="MenuOptions">
    <w:name w:val="Menu Options"/>
    <w:basedOn w:val="DefaultParagraphFont"/>
    <w:rsid w:val="00DE66DB"/>
    <w:rPr>
      <w:rFonts w:ascii="Arial Narrow" w:hAnsi="Arial Narrow"/>
      <w:smallCaps/>
    </w:rPr>
  </w:style>
  <w:style w:type="character" w:customStyle="1" w:styleId="Buttons">
    <w:name w:val="Buttons"/>
    <w:basedOn w:val="DefaultParagraphFont"/>
    <w:rsid w:val="00DE66DB"/>
    <w:rPr>
      <w:b/>
    </w:rPr>
  </w:style>
  <w:style w:type="character" w:customStyle="1" w:styleId="Underlined">
    <w:name w:val="Underlined"/>
    <w:basedOn w:val="DefaultParagraphFont"/>
    <w:rsid w:val="00DE66DB"/>
    <w:rPr>
      <w:u w:val="single"/>
    </w:rPr>
  </w:style>
  <w:style w:type="paragraph" w:customStyle="1" w:styleId="TableBodyTextRight">
    <w:name w:val="Table Body Text Right"/>
    <w:basedOn w:val="TableBodyText"/>
    <w:rsid w:val="00DE66DB"/>
    <w:pPr>
      <w:widowControl w:val="0"/>
      <w:autoSpaceDE w:val="0"/>
      <w:autoSpaceDN w:val="0"/>
      <w:adjustRightInd w:val="0"/>
      <w:jc w:val="right"/>
    </w:pPr>
    <w:rPr>
      <w:rFonts w:cs="Arial"/>
      <w:szCs w:val="18"/>
    </w:rPr>
  </w:style>
  <w:style w:type="paragraph" w:customStyle="1" w:styleId="CopyrightText">
    <w:name w:val="Copyright Text"/>
    <w:basedOn w:val="BodyText"/>
    <w:rsid w:val="00DE66DB"/>
    <w:rPr>
      <w:sz w:val="18"/>
    </w:rPr>
  </w:style>
  <w:style w:type="paragraph" w:customStyle="1" w:styleId="BodySmallRight">
    <w:name w:val="Body Small Right"/>
    <w:basedOn w:val="BodyTextRight"/>
    <w:rsid w:val="00DE66DB"/>
    <w:rPr>
      <w:sz w:val="18"/>
      <w:szCs w:val="18"/>
    </w:rPr>
  </w:style>
  <w:style w:type="paragraph" w:customStyle="1" w:styleId="MarginEdition">
    <w:name w:val="Margin Edition"/>
    <w:basedOn w:val="MarginNote"/>
    <w:rsid w:val="00DE66DB"/>
    <w:pPr>
      <w:spacing w:before="0" w:after="0"/>
    </w:pPr>
    <w:rPr>
      <w:rFonts w:ascii="Times New Roman" w:hAnsi="Times New Roman"/>
      <w:color w:val="999999"/>
    </w:rPr>
  </w:style>
  <w:style w:type="paragraph" w:customStyle="1" w:styleId="Spacer">
    <w:name w:val="Spacer"/>
    <w:basedOn w:val="Normal"/>
    <w:rsid w:val="00DE66DB"/>
    <w:rPr>
      <w:sz w:val="2"/>
      <w:szCs w:val="2"/>
    </w:rPr>
  </w:style>
  <w:style w:type="character" w:customStyle="1" w:styleId="Small">
    <w:name w:val="Small"/>
    <w:basedOn w:val="DefaultParagraphFont"/>
    <w:rsid w:val="00DE66DB"/>
    <w:rPr>
      <w:sz w:val="16"/>
    </w:rPr>
  </w:style>
  <w:style w:type="paragraph" w:customStyle="1" w:styleId="WideTable">
    <w:name w:val="Wide Table"/>
    <w:basedOn w:val="Normal"/>
    <w:rsid w:val="00DE66DB"/>
    <w:pPr>
      <w:ind w:left="-1418"/>
    </w:pPr>
    <w:rPr>
      <w:sz w:val="2"/>
      <w:szCs w:val="2"/>
    </w:rPr>
  </w:style>
  <w:style w:type="character" w:styleId="PageNumber">
    <w:name w:val="page number"/>
    <w:basedOn w:val="DefaultParagraphFont"/>
    <w:rsid w:val="00DE66DB"/>
  </w:style>
  <w:style w:type="paragraph" w:styleId="Quote">
    <w:name w:val="Quote"/>
    <w:basedOn w:val="Heading1"/>
    <w:link w:val="QuoteChar"/>
    <w:qFormat/>
    <w:rsid w:val="00DE66DB"/>
    <w:rPr>
      <w:b w:val="0"/>
      <w:sz w:val="72"/>
      <w:szCs w:val="72"/>
      <w:lang w:val="en-NZ"/>
    </w:rPr>
  </w:style>
  <w:style w:type="character" w:customStyle="1" w:styleId="QuoteChar">
    <w:name w:val="Quote Char"/>
    <w:basedOn w:val="DefaultParagraphFont"/>
    <w:link w:val="Quote"/>
    <w:rsid w:val="00DE6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6DB"/>
    <w:pPr>
      <w:pageBreakBefore/>
    </w:pPr>
  </w:style>
  <w:style w:type="paragraph" w:customStyle="1" w:styleId="Border">
    <w:name w:val="Border"/>
    <w:basedOn w:val="Normal"/>
    <w:qFormat/>
    <w:rsid w:val="00DE6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6DB"/>
    <w:rPr>
      <w:b/>
      <w:bCs/>
      <w:i/>
      <w:iCs/>
      <w:color w:val="auto"/>
    </w:rPr>
  </w:style>
  <w:style w:type="paragraph" w:styleId="IntenseQuote">
    <w:name w:val="Intense Quote"/>
    <w:basedOn w:val="Normal"/>
    <w:next w:val="Normal"/>
    <w:link w:val="IntenseQuoteChar"/>
    <w:uiPriority w:val="30"/>
    <w:qFormat/>
    <w:rsid w:val="00DE6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6DB"/>
    <w:rPr>
      <w:smallCaps/>
      <w:color w:val="auto"/>
      <w:u w:val="single"/>
    </w:rPr>
  </w:style>
  <w:style w:type="character" w:styleId="IntenseReference">
    <w:name w:val="Intense Reference"/>
    <w:basedOn w:val="DefaultParagraphFont"/>
    <w:uiPriority w:val="32"/>
    <w:qFormat/>
    <w:rsid w:val="00DE66DB"/>
    <w:rPr>
      <w:b/>
      <w:bCs/>
      <w:smallCaps/>
      <w:color w:val="auto"/>
      <w:spacing w:val="5"/>
      <w:u w:val="single"/>
    </w:rPr>
  </w:style>
  <w:style w:type="paragraph" w:customStyle="1" w:styleId="2ColumnHeading">
    <w:name w:val="2Column Heading"/>
    <w:basedOn w:val="BodyText"/>
    <w:qFormat/>
    <w:rsid w:val="00DE66DB"/>
    <w:pPr>
      <w:spacing w:after="60"/>
      <w:ind w:left="-2268"/>
    </w:pPr>
    <w:rPr>
      <w:b/>
    </w:rPr>
  </w:style>
  <w:style w:type="paragraph" w:customStyle="1" w:styleId="Heading1TOC">
    <w:name w:val="Heading1 TOC"/>
    <w:basedOn w:val="Normal"/>
    <w:qFormat/>
    <w:rsid w:val="00DE66DB"/>
    <w:pPr>
      <w:spacing w:before="240" w:after="120"/>
    </w:pPr>
    <w:rPr>
      <w:rFonts w:ascii="Times New Roman" w:hAnsi="Times New Roman"/>
      <w:b/>
      <w:sz w:val="32"/>
    </w:rPr>
  </w:style>
  <w:style w:type="paragraph" w:customStyle="1" w:styleId="Heading2TOC">
    <w:name w:val="Heading2 TOC"/>
    <w:basedOn w:val="Normal"/>
    <w:qFormat/>
    <w:rsid w:val="00DE66DB"/>
    <w:pPr>
      <w:spacing w:before="240" w:after="60"/>
    </w:pPr>
    <w:rPr>
      <w:rFonts w:ascii="Times New Roman" w:hAnsi="Times New Roman"/>
      <w:b/>
      <w:sz w:val="28"/>
    </w:rPr>
  </w:style>
  <w:style w:type="character" w:customStyle="1" w:styleId="Underline">
    <w:name w:val="Underline"/>
    <w:basedOn w:val="DefaultParagraphFont"/>
    <w:qFormat/>
    <w:rsid w:val="00DE66DB"/>
    <w:rPr>
      <w:u w:val="single"/>
    </w:rPr>
  </w:style>
  <w:style w:type="character" w:customStyle="1" w:styleId="BoldandItalics">
    <w:name w:val="Bold and Italics"/>
    <w:qFormat/>
    <w:rsid w:val="00DE66DB"/>
    <w:rPr>
      <w:b/>
      <w:i/>
      <w:u w:val="none"/>
    </w:rPr>
  </w:style>
  <w:style w:type="paragraph" w:styleId="BalloonText">
    <w:name w:val="Balloon Text"/>
    <w:basedOn w:val="Normal"/>
    <w:link w:val="BalloonTextChar"/>
    <w:rsid w:val="00DE66DB"/>
    <w:rPr>
      <w:rFonts w:ascii="Tahoma" w:hAnsi="Tahoma" w:cs="Tahoma"/>
      <w:sz w:val="16"/>
      <w:szCs w:val="16"/>
    </w:rPr>
  </w:style>
  <w:style w:type="character" w:customStyle="1" w:styleId="BalloonTextChar">
    <w:name w:val="Balloon Text Char"/>
    <w:basedOn w:val="DefaultParagraphFont"/>
    <w:link w:val="BalloonText"/>
    <w:rsid w:val="00DE6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6DB"/>
    <w:rPr>
      <w:b/>
      <w:color w:val="660033"/>
      <w:spacing w:val="0"/>
    </w:rPr>
  </w:style>
  <w:style w:type="paragraph" w:customStyle="1" w:styleId="Nameditemlist">
    <w:name w:val="Named item list"/>
    <w:basedOn w:val="BodyText"/>
    <w:qFormat/>
    <w:rsid w:val="00DE66DB"/>
    <w:pPr>
      <w:tabs>
        <w:tab w:val="left" w:pos="2835"/>
      </w:tabs>
      <w:ind w:left="2835" w:hanging="2835"/>
    </w:pPr>
  </w:style>
  <w:style w:type="paragraph" w:customStyle="1" w:styleId="BodyTextnopadding">
    <w:name w:val="Body Text no padding"/>
    <w:basedOn w:val="BodyText"/>
    <w:qFormat/>
    <w:rsid w:val="00DE66D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4197</Characters>
  <Application>Microsoft Office Word</Application>
  <DocSecurity>0</DocSecurity>
  <Lines>204</Lines>
  <Paragraphs>97</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MSS015017 Develop regulated sustainability reports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2018-10-22T06:55:00Z</dcterms:created>
  <dcterms:modified xsi:type="dcterms:W3CDTF">2018-10-22T06:55:00Z</dcterms:modified>
</cp:coreProperties>
</file>