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DC3" w:rsidP="009F4DC3">
      <w:pPr>
        <w:pStyle w:val="Title"/>
      </w:pPr>
      <w:r>
        <w:fldChar w:fldCharType="begin"/>
      </w:r>
      <w:r>
        <w:instrText xml:space="preserve"> TITLE   \* MERGEFORMAT </w:instrText>
      </w:r>
      <w:r>
        <w:fldChar w:fldCharType="separate"/>
      </w:r>
      <w:r>
        <w:t>MSS015016 Implement and monitor reengineering for sustainability</w:t>
      </w:r>
      <w:r>
        <w:fldChar w:fldCharType="end"/>
      </w:r>
    </w:p>
    <w:p w:rsidR="009F4DC3" w:rsidP="009F4DC3">
      <w:pPr>
        <w:pStyle w:val="Version"/>
        <w:sectPr w:rsidSect="00AB2B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BEE" w:rsidP="00AB2BEE">
      <w:pPr>
        <w:pStyle w:val="SuperHeading"/>
      </w:pPr>
      <w:r w:rsidRPr="00AB2BEE">
        <w:t>MSS015016 Implement and monitor reengineering for sustainability</w:t>
      </w:r>
    </w:p>
    <w:p w:rsidR="00000000" w:rsidRPr="00AB2BEE" w:rsidP="00AB2BEE">
      <w:pPr>
        <w:pStyle w:val="Heading1"/>
      </w:pPr>
      <w:bookmarkStart w:id="1" w:name="O_923210"/>
      <w:bookmarkEnd w:id="1"/>
      <w:r w:rsidRPr="00AB2BEE">
        <w:t>Modification History</w:t>
      </w:r>
    </w:p>
    <w:p w:rsidR="00000000" w:rsidRPr="00AB2BEE" w:rsidP="00AB2BEE">
      <w:pPr>
        <w:pStyle w:val="BodyText"/>
      </w:pPr>
      <w:r w:rsidRPr="00AB2BEE">
        <w:t xml:space="preserve">Release 1. Supersedes and is equivalent to MSS015016A Implement and monitor reengineering for sustainability. </w:t>
      </w:r>
    </w:p>
    <w:p w:rsidR="00000000" w:rsidRPr="00AB2BEE" w:rsidP="00AB2BEE">
      <w:pPr>
        <w:pStyle w:val="AllowPageBreak"/>
      </w:pPr>
    </w:p>
    <w:p w:rsidR="00000000" w:rsidRPr="00AB2BEE" w:rsidP="00AB2BEE">
      <w:pPr>
        <w:pStyle w:val="Heading1"/>
      </w:pPr>
      <w:bookmarkStart w:id="2" w:name="O_923218"/>
      <w:bookmarkEnd w:id="2"/>
      <w:r w:rsidRPr="00AB2BEE">
        <w:t>Application</w:t>
      </w:r>
    </w:p>
    <w:p w:rsidR="00000000" w:rsidRPr="00AB2BEE" w:rsidP="00AB2BEE">
      <w:pPr>
        <w:pStyle w:val="BodyText"/>
      </w:pPr>
      <w:r w:rsidRPr="00AB2BEE">
        <w:t xml:space="preserve">This unit of competency covers identifying, implementing and monitoring a reengineering process to achieve a sustainability improvement.  </w:t>
      </w:r>
    </w:p>
    <w:p w:rsidR="00000000" w:rsidRPr="00AB2BEE" w:rsidP="00AB2BEE">
      <w:pPr>
        <w:pStyle w:val="BodyText"/>
      </w:pPr>
    </w:p>
    <w:p w:rsidR="00000000" w:rsidRPr="00AB2BEE" w:rsidP="00AB2BEE">
      <w:pPr>
        <w:pStyle w:val="BodyText"/>
      </w:pPr>
      <w:r w:rsidRPr="00AB2BEE">
        <w:t xml:space="preserve">This unit applies to production operations that have identified reengineering as a potential strategy for improving </w:t>
      </w:r>
      <w:r w:rsidRPr="00AB2BEE">
        <w:t xml:space="preserve">sustainability. </w:t>
      </w:r>
    </w:p>
    <w:p w:rsidR="00000000" w:rsidRPr="00AB2BEE" w:rsidP="00AB2BEE">
      <w:pPr>
        <w:pStyle w:val="BodyText"/>
      </w:pPr>
    </w:p>
    <w:p w:rsidR="00000000" w:rsidRPr="00AB2BEE" w:rsidP="00AB2BEE">
      <w:pPr>
        <w:pStyle w:val="BodyText"/>
      </w:pPr>
      <w:r w:rsidRPr="00AB2BEE">
        <w:t>This unit includes the identification of the process for reengineering, the development of the sustainability objectives of the reengineering project, establishment of project objectives, implementation and evaluation. The reengineering p</w:t>
      </w:r>
      <w:r w:rsidRPr="00AB2BEE">
        <w:t>roject may involve consultations and participation by customers and suppliers in the value chain.</w:t>
      </w:r>
    </w:p>
    <w:p w:rsidR="00000000" w:rsidRPr="00AB2BEE" w:rsidP="00AB2BEE">
      <w:pPr>
        <w:pStyle w:val="BodyText"/>
      </w:pPr>
    </w:p>
    <w:p w:rsidR="00000000" w:rsidRPr="00AB2BEE" w:rsidP="00AB2BEE">
      <w:pPr>
        <w:pStyle w:val="BodyText"/>
      </w:pPr>
      <w:r w:rsidRPr="00AB2BEE">
        <w:t>A manager or technical specialist who has a major responsibility for sustainability as part of a broader work role would typically undertake this, or sustain</w:t>
      </w:r>
      <w:r w:rsidRPr="00AB2BEE">
        <w:t>ability may be their primary work responsibility. The manager or technical specialist may undertake this alone or as part of a team.</w:t>
      </w:r>
    </w:p>
    <w:p w:rsidR="00000000" w:rsidRPr="00AB2BEE" w:rsidP="00AB2BEE">
      <w:pPr>
        <w:pStyle w:val="BodyText"/>
      </w:pPr>
    </w:p>
    <w:p w:rsidR="00000000" w:rsidRPr="00AB2BEE" w:rsidP="00AB2BEE">
      <w:pPr>
        <w:pStyle w:val="BodyText"/>
      </w:pPr>
      <w:r w:rsidRPr="00AB2BEE">
        <w:t>The technical measurement of operational performance or measurement of emissions or other environmental impact is not cove</w:t>
      </w:r>
      <w:r w:rsidRPr="00AB2BEE">
        <w:t>red by this unit.</w:t>
      </w:r>
    </w:p>
    <w:p w:rsidR="00000000" w:rsidRPr="00AB2BEE" w:rsidP="00AB2BEE">
      <w:pPr>
        <w:pStyle w:val="BodyText"/>
      </w:pPr>
    </w:p>
    <w:p w:rsidR="00000000" w:rsidRPr="00AB2BEE" w:rsidP="00AB2BEE">
      <w:pPr>
        <w:pStyle w:val="BodyText"/>
      </w:pPr>
      <w:r w:rsidRPr="00AB2BEE">
        <w:t>This unit does not supply the technical skills for undertaking the engineering alterations, such as installation, commissioning and operation of equipment.</w:t>
      </w:r>
    </w:p>
    <w:p w:rsidR="00000000" w:rsidRPr="00AB2BEE" w:rsidP="00AB2BEE">
      <w:pPr>
        <w:pStyle w:val="BodyText"/>
      </w:pPr>
    </w:p>
    <w:p w:rsidR="00000000" w:rsidRPr="00AB2BEE" w:rsidP="00AB2BEE">
      <w:pPr>
        <w:pStyle w:val="BodyText"/>
      </w:pPr>
      <w:r w:rsidRPr="00AB2BEE">
        <w:t>No licensing, legislative or certification requirements apply to this unit at th</w:t>
      </w:r>
      <w:r w:rsidRPr="00AB2BEE">
        <w:t>e time of publication.</w:t>
      </w:r>
    </w:p>
    <w:p w:rsidR="00000000" w:rsidRPr="00AB2BEE" w:rsidP="00AB2BEE">
      <w:pPr>
        <w:pStyle w:val="AllowPageBreak"/>
      </w:pPr>
    </w:p>
    <w:p w:rsidR="00000000" w:rsidRPr="00AB2BEE" w:rsidP="00AB2BEE">
      <w:pPr>
        <w:pStyle w:val="Heading1"/>
      </w:pPr>
      <w:bookmarkStart w:id="3" w:name="O_923217"/>
      <w:bookmarkEnd w:id="3"/>
      <w:r w:rsidRPr="00AB2BEE">
        <w:t>Pre-requisite Unit</w:t>
      </w:r>
    </w:p>
    <w:p w:rsidR="00000000" w:rsidRPr="00AB2BEE" w:rsidP="00AB2BEE">
      <w:pPr>
        <w:pStyle w:val="BodyText"/>
      </w:pPr>
      <w:r w:rsidRPr="00AB2BEE">
        <w:t>Nil</w:t>
      </w:r>
    </w:p>
    <w:p w:rsidR="00000000" w:rsidRPr="00AB2BEE" w:rsidP="00AB2BEE">
      <w:pPr>
        <w:pStyle w:val="AllowPageBreak"/>
      </w:pPr>
    </w:p>
    <w:p w:rsidR="00000000" w:rsidRPr="00AB2BEE" w:rsidP="00AB2BEE">
      <w:pPr>
        <w:pStyle w:val="Heading1"/>
      </w:pPr>
      <w:bookmarkStart w:id="4" w:name="O_923216"/>
      <w:bookmarkEnd w:id="4"/>
      <w:r w:rsidRPr="00AB2BEE">
        <w:t>Competency Field</w:t>
      </w:r>
    </w:p>
    <w:p w:rsidR="00000000" w:rsidRPr="00AB2BEE" w:rsidP="00AB2BEE">
      <w:pPr>
        <w:pStyle w:val="BodyText"/>
      </w:pPr>
      <w:r w:rsidRPr="00AB2BEE">
        <w:t>Sustainable operations</w:t>
      </w:r>
    </w:p>
    <w:p w:rsidR="00000000" w:rsidRPr="00AB2BEE" w:rsidP="00AB2BEE">
      <w:pPr>
        <w:pStyle w:val="AllowPageBreak"/>
      </w:pPr>
    </w:p>
    <w:p w:rsidR="00000000" w:rsidRPr="00AB2BEE" w:rsidP="00AB2BEE">
      <w:pPr>
        <w:pStyle w:val="Heading1"/>
      </w:pPr>
      <w:bookmarkStart w:id="5" w:name="O_923215"/>
      <w:bookmarkEnd w:id="5"/>
      <w:r w:rsidRPr="00AB2BEE">
        <w:t>Unit Sector</w:t>
      </w:r>
    </w:p>
    <w:p w:rsidR="00000000" w:rsidRPr="00AB2BEE" w:rsidP="00AB2BEE">
      <w:pPr>
        <w:pStyle w:val="BodyText"/>
      </w:pPr>
      <w:r w:rsidRPr="00AB2BEE">
        <w:t>Not applicable</w:t>
      </w:r>
    </w:p>
    <w:p w:rsidR="00000000" w:rsidRPr="00AB2BEE" w:rsidP="00AB2BEE">
      <w:pPr>
        <w:pStyle w:val="AllowPageBreak"/>
      </w:pPr>
    </w:p>
    <w:p w:rsidR="00000000" w:rsidRPr="00AB2BEE" w:rsidP="00AB2BEE">
      <w:pPr>
        <w:pStyle w:val="Heading1"/>
      </w:pPr>
      <w:bookmarkStart w:id="6" w:name="O_923214"/>
      <w:bookmarkEnd w:id="6"/>
      <w:r w:rsidRPr="00AB2BE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B2BE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Performance criteria describe the performance needed to demonstrate achievement of the element.</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2BEE" w:rsidP="00AB2BEE">
            <w:pPr>
              <w:pStyle w:val="BodyText"/>
            </w:pPr>
            <w:r w:rsidRPr="00AB2BEE">
              <w:t>1</w:t>
            </w:r>
          </w:p>
        </w:tc>
        <w:tc>
          <w:tcPr>
            <w:tcW w:w="1962" w:type="dxa"/>
            <w:vMerge w:val="restart"/>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rPr>
                <w:rStyle w:val="SpecialBold"/>
              </w:rPr>
              <w:t>Determine the need for reengineering</w:t>
            </w: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1.1</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Choose a process for improvement.</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1.2</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Analyse process performance.</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1.3</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Compare reengineering approach with other process improvement methodologies.</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1.4</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Confirm the need for reengineering.</w:t>
            </w:r>
          </w:p>
        </w:tc>
      </w:tr>
      <w:tr w:rsidTr="00AB2B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2BEE">
            <w:pPr>
              <w:pStyle w:val="BodyText"/>
              <w:rPr>
                <w:lang w:val="en-NZ"/>
              </w:rPr>
            </w:pP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2BEE" w:rsidP="00AB2BEE">
            <w:pPr>
              <w:pStyle w:val="BodyText"/>
            </w:pPr>
            <w:r w:rsidRPr="00AB2BEE">
              <w:t>2</w:t>
            </w:r>
          </w:p>
        </w:tc>
        <w:tc>
          <w:tcPr>
            <w:tcW w:w="1962" w:type="dxa"/>
            <w:vMerge w:val="restart"/>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rPr>
                <w:rStyle w:val="SpecialBold"/>
              </w:rPr>
              <w:t>Determine process objectives</w:t>
            </w: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2.1</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Identify stakeholders in the process.</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2.2</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Research and define perceived stakeholder benefit from process.</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2.3</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Translate perceived benefits into product and process specifications.</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2.4</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Collect current available metrics on process performance.</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2.5</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Determine metrics for monitoring future sustainability related and other process performance.</w:t>
            </w:r>
          </w:p>
        </w:tc>
      </w:tr>
      <w:tr w:rsidTr="00AB2B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2BEE">
            <w:pPr>
              <w:pStyle w:val="BodyText"/>
              <w:rPr>
                <w:lang w:val="en-NZ"/>
              </w:rPr>
            </w:pP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2BEE" w:rsidP="00AB2BEE">
            <w:pPr>
              <w:pStyle w:val="BodyText"/>
            </w:pPr>
            <w:r w:rsidRPr="00AB2BEE">
              <w:t>3</w:t>
            </w:r>
          </w:p>
        </w:tc>
        <w:tc>
          <w:tcPr>
            <w:tcW w:w="1962" w:type="dxa"/>
            <w:vMerge w:val="restart"/>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rPr>
                <w:rStyle w:val="SpecialBold"/>
              </w:rPr>
              <w:t>Facilitate reengineering study</w:t>
            </w: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3.1</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Organise appointment of reengineering team.</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3.2</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Determine impact on suppliers and customers during and after reengineering.</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3.3</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Acquire required resources and authorities to proceed.</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3.4</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Develop descriptions of alternative processes which will deliver required specifications.</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3.5</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Short-list most likely alternatives.</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3.6</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Evaluate short-listed alternatives.</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3.7</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Rank evaluated short-listed alternatives by desirability.</w:t>
            </w:r>
          </w:p>
        </w:tc>
      </w:tr>
      <w:tr w:rsidTr="00AB2B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2BEE">
            <w:pPr>
              <w:pStyle w:val="BodyText"/>
              <w:rPr>
                <w:lang w:val="en-NZ"/>
              </w:rPr>
            </w:pP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2BEE" w:rsidP="00AB2BEE">
            <w:pPr>
              <w:pStyle w:val="BodyText"/>
            </w:pPr>
            <w:r w:rsidRPr="00AB2BEE">
              <w:t>4</w:t>
            </w:r>
          </w:p>
        </w:tc>
        <w:tc>
          <w:tcPr>
            <w:tcW w:w="1962" w:type="dxa"/>
            <w:vMerge w:val="restart"/>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rPr>
                <w:rStyle w:val="SpecialBold"/>
              </w:rPr>
              <w:t>Implement preferred option</w:t>
            </w: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4.1</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Select preferred option.</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4.2</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Develop implementation plan for preferred option.</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4.3</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Negotiate required resources with relevant stakeholders.</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4.4</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Negotiate timelines and measures/indicators of success with change stakeholders.</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4.5</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Acquire and deploy resources required to achieve agreed responses.</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4.6</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Monitor implementation and take action as required to achieve required responses.</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4.7</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Renegotiate with relevant stakeholders as necessary.</w:t>
            </w:r>
          </w:p>
        </w:tc>
      </w:tr>
      <w:tr w:rsidTr="00AB2B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2BEE">
            <w:pPr>
              <w:pStyle w:val="BodyText"/>
              <w:rPr>
                <w:lang w:val="en-NZ"/>
              </w:rPr>
            </w:pP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2BEE" w:rsidP="00AB2BEE">
            <w:pPr>
              <w:pStyle w:val="BodyText"/>
            </w:pPr>
            <w:r w:rsidRPr="00AB2BEE">
              <w:t>5</w:t>
            </w:r>
          </w:p>
        </w:tc>
        <w:tc>
          <w:tcPr>
            <w:tcW w:w="1962" w:type="dxa"/>
            <w:vMerge w:val="restart"/>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rPr>
                <w:rStyle w:val="SpecialBold"/>
              </w:rPr>
              <w:t>Recommend further improvements</w:t>
            </w: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5.1</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Measure improvements actually obtained.</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5.2</w:t>
            </w:r>
          </w:p>
        </w:tc>
        <w:tc>
          <w:tcPr>
            <w:tcW w:w="561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Identify non-compliances with planned improvements.</w:t>
            </w:r>
          </w:p>
        </w:tc>
      </w:tr>
      <w:tr w:rsidTr="00AB2B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5.3</w:t>
            </w:r>
          </w:p>
        </w:tc>
        <w:tc>
          <w:tcPr>
            <w:tcW w:w="5610" w:type="dxa"/>
            <w:tcBorders>
              <w:top w:val="nil"/>
              <w:left w:val="nil"/>
              <w:bottom w:val="nil"/>
              <w:right w:val="nil"/>
            </w:tcBorders>
            <w:tcMar>
              <w:top w:w="0" w:type="dxa"/>
              <w:left w:w="62" w:type="dxa"/>
              <w:bottom w:w="0" w:type="dxa"/>
              <w:right w:w="62" w:type="dxa"/>
            </w:tcMar>
          </w:tcPr>
          <w:p w:rsidR="00000000" w:rsidRPr="00AB2BEE" w:rsidP="00AB2BEE">
            <w:pPr>
              <w:pStyle w:val="BodyText"/>
            </w:pPr>
            <w:r w:rsidRPr="00AB2BEE">
              <w:t>Determine additional improvements desirable.</w:t>
            </w:r>
          </w:p>
        </w:tc>
      </w:tr>
    </w:tbl>
    <w:p w:rsidR="00000000" w:rsidRPr="00AB2BEE" w:rsidP="00AB2BEE">
      <w:pPr>
        <w:pStyle w:val="BodyText"/>
      </w:pPr>
    </w:p>
    <w:p w:rsidR="00000000" w:rsidRPr="00AB2BEE" w:rsidP="00AB2BEE">
      <w:pPr>
        <w:pStyle w:val="AllowPageBreak"/>
      </w:pPr>
    </w:p>
    <w:p w:rsidR="00000000" w:rsidRPr="00AB2BEE" w:rsidP="00AB2BEE">
      <w:pPr>
        <w:pStyle w:val="Heading1"/>
      </w:pPr>
      <w:bookmarkStart w:id="7" w:name="O_923213"/>
      <w:bookmarkEnd w:id="7"/>
      <w:r w:rsidRPr="00AB2BEE">
        <w:t>Foundation Skills</w:t>
      </w:r>
    </w:p>
    <w:p w:rsidR="00000000" w:rsidRPr="00AB2BEE" w:rsidP="00AB2BEE">
      <w:pPr>
        <w:pStyle w:val="BodyText"/>
      </w:pPr>
      <w:r w:rsidRPr="00AB2BEE">
        <w:t>This section describes those required skills (language, literacy and numeracy) that are essential to performance.</w:t>
      </w:r>
    </w:p>
    <w:p w:rsidR="00000000" w:rsidRPr="00AB2BEE" w:rsidP="00AB2BEE">
      <w:pPr>
        <w:pStyle w:val="BodyText"/>
      </w:pPr>
    </w:p>
    <w:p w:rsidR="00000000" w:rsidRPr="00AB2BEE" w:rsidP="00AB2BEE">
      <w:pPr>
        <w:pStyle w:val="BodyText"/>
      </w:pPr>
      <w:r w:rsidRPr="00AB2BEE">
        <w:t>Foundation skills essential to performance are explicit in the performance criteria of this unit of competency.</w:t>
      </w:r>
    </w:p>
    <w:p w:rsidR="00000000" w:rsidRPr="00AB2BEE" w:rsidP="00AB2BEE">
      <w:pPr>
        <w:pStyle w:val="AllowPageBreak"/>
      </w:pPr>
    </w:p>
    <w:p w:rsidR="00000000" w:rsidRPr="00AB2BEE" w:rsidP="00AB2BEE">
      <w:pPr>
        <w:pStyle w:val="Heading1"/>
      </w:pPr>
      <w:bookmarkStart w:id="8" w:name="O_923212"/>
      <w:bookmarkEnd w:id="8"/>
      <w:r w:rsidRPr="00AB2BEE">
        <w:t>Range of Con</w:t>
      </w:r>
      <w:r w:rsidRPr="00AB2BEE">
        <w:t>ditions</w:t>
      </w:r>
    </w:p>
    <w:tbl>
      <w:tblPr>
        <w:tblW w:w="0" w:type="auto"/>
        <w:tblLayout w:type="fixed"/>
        <w:tblCellMar>
          <w:left w:w="62" w:type="dxa"/>
          <w:right w:w="62" w:type="dxa"/>
        </w:tblCellMar>
        <w:tblLook w:val="0000"/>
      </w:tblPr>
      <w:tblGrid>
        <w:gridCol w:w="2237"/>
        <w:gridCol w:w="6835"/>
      </w:tblGrid>
      <w:tr w:rsidTr="00AB2B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t>This field allows for different work environments and conditions that may affect performance. Essential operating conditions that may be present (depending on the work situation, needs of the candidate, accessibility of the item, and local industry</w:t>
            </w:r>
            <w:r w:rsidRPr="00AB2BEE">
              <w:t xml:space="preserve"> and regional contexts) are included.</w:t>
            </w:r>
          </w:p>
        </w:tc>
      </w:tr>
      <w:tr w:rsidTr="00AB2BEE">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rPr>
                <w:rStyle w:val="SpecialBold"/>
              </w:rPr>
              <w:t>Process performance analysis includes one or more of</w:t>
            </w:r>
          </w:p>
        </w:tc>
        <w:tc>
          <w:tcPr>
            <w:tcW w:w="6835" w:type="dxa"/>
            <w:tcBorders>
              <w:top w:val="nil"/>
              <w:left w:val="nil"/>
              <w:bottom w:val="nil"/>
              <w:right w:val="nil"/>
            </w:tcBorders>
            <w:tcMar>
              <w:top w:w="0" w:type="dxa"/>
              <w:left w:w="62" w:type="dxa"/>
              <w:bottom w:w="0" w:type="dxa"/>
              <w:right w:w="62" w:type="dxa"/>
            </w:tcMar>
          </w:tcPr>
          <w:p w:rsidR="00000000" w:rsidRPr="00AB2BEE" w:rsidP="00AB2BEE">
            <w:pPr>
              <w:pStyle w:val="ListBullet"/>
            </w:pPr>
            <w:r w:rsidRPr="00AB2BEE">
              <w:t>benchmarking comparisons</w:t>
            </w:r>
          </w:p>
          <w:p w:rsidR="00000000" w:rsidRPr="00AB2BEE" w:rsidP="00AB2BEE">
            <w:pPr>
              <w:pStyle w:val="ListBullet"/>
            </w:pPr>
            <w:r w:rsidRPr="00AB2BEE">
              <w:t>comparison with theoretical performance</w:t>
            </w:r>
          </w:p>
          <w:p w:rsidR="00000000" w:rsidRPr="00AB2BEE" w:rsidP="00AB2BEE">
            <w:pPr>
              <w:pStyle w:val="ListBullet"/>
            </w:pPr>
            <w:r w:rsidRPr="00AB2BEE">
              <w:t>comparisons with regulatory requirements</w:t>
            </w:r>
          </w:p>
          <w:p w:rsidR="00000000" w:rsidRPr="00AB2BEE" w:rsidP="00AB2BEE">
            <w:pPr>
              <w:pStyle w:val="ListBullet"/>
            </w:pPr>
            <w:r w:rsidRPr="00AB2BEE">
              <w:t xml:space="preserve">examination of operational and maintenance records </w:t>
            </w:r>
          </w:p>
          <w:p w:rsidR="00000000" w:rsidRPr="00AB2BEE" w:rsidP="00AB2BEE">
            <w:pPr>
              <w:pStyle w:val="ListBullet"/>
            </w:pPr>
            <w:r w:rsidRPr="00AB2BEE">
              <w:t>consultation with operational and maintenance staff to identify informal history (e.g. excessive effort in ‘work arounds’, and making it work in spite of the system)</w:t>
            </w:r>
          </w:p>
          <w:p w:rsidR="00000000" w:rsidRPr="00AB2BEE" w:rsidP="00AB2BEE">
            <w:pPr>
              <w:pStyle w:val="ListBullet"/>
            </w:pPr>
            <w:r w:rsidRPr="00AB2BEE">
              <w:t>conflicts in the organisation</w:t>
            </w:r>
          </w:p>
          <w:p w:rsidR="00000000" w:rsidRPr="00AB2BEE" w:rsidP="00AB2BEE">
            <w:pPr>
              <w:pStyle w:val="ListBullet"/>
            </w:pPr>
            <w:r w:rsidRPr="00AB2BEE">
              <w:t>an extremely high frequency of meetings</w:t>
            </w:r>
          </w:p>
          <w:p w:rsidR="00000000" w:rsidRPr="00AB2BEE" w:rsidP="00AB2BEE">
            <w:pPr>
              <w:pStyle w:val="ListBullet"/>
            </w:pPr>
            <w:r w:rsidRPr="00AB2BEE">
              <w:t>excessive use of non</w:t>
            </w:r>
            <w:r w:rsidRPr="00AB2BEE">
              <w:t>-structured communication (memos and emails).</w:t>
            </w:r>
          </w:p>
          <w:p w:rsidR="00000000" w:rsidP="00AB2BEE">
            <w:pPr>
              <w:pStyle w:val="BodyText"/>
              <w:rPr>
                <w:lang w:val="en-NZ"/>
              </w:rPr>
            </w:pPr>
          </w:p>
        </w:tc>
      </w:tr>
      <w:tr w:rsidTr="00AB2BEE">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rPr>
                <w:rStyle w:val="SpecialBold"/>
              </w:rPr>
              <w:t>Process improvement methodologies include one or more of</w:t>
            </w:r>
          </w:p>
        </w:tc>
        <w:tc>
          <w:tcPr>
            <w:tcW w:w="6835" w:type="dxa"/>
            <w:tcBorders>
              <w:top w:val="nil"/>
              <w:left w:val="nil"/>
              <w:bottom w:val="nil"/>
              <w:right w:val="nil"/>
            </w:tcBorders>
            <w:tcMar>
              <w:top w:w="0" w:type="dxa"/>
              <w:left w:w="62" w:type="dxa"/>
              <w:bottom w:w="0" w:type="dxa"/>
              <w:right w:w="62" w:type="dxa"/>
            </w:tcMar>
          </w:tcPr>
          <w:p w:rsidR="00000000" w:rsidRPr="00AB2BEE" w:rsidP="00AB2BEE">
            <w:pPr>
              <w:pStyle w:val="ListBullet"/>
            </w:pPr>
            <w:r w:rsidRPr="00AB2BEE">
              <w:t>kaizen</w:t>
            </w:r>
          </w:p>
          <w:p w:rsidR="00000000" w:rsidRPr="00AB2BEE" w:rsidP="00AB2BEE">
            <w:pPr>
              <w:pStyle w:val="ListBullet"/>
            </w:pPr>
            <w:r w:rsidRPr="00AB2BEE">
              <w:t>kaizen blitz</w:t>
            </w:r>
          </w:p>
          <w:p w:rsidR="00000000" w:rsidRPr="00AB2BEE" w:rsidP="00AB2BEE">
            <w:pPr>
              <w:pStyle w:val="ListBullet"/>
            </w:pPr>
            <w:r w:rsidRPr="00AB2BEE">
              <w:t>technical optimisation approaches</w:t>
            </w:r>
          </w:p>
          <w:p w:rsidR="00000000" w:rsidRPr="00AB2BEE" w:rsidP="00AB2BEE">
            <w:pPr>
              <w:pStyle w:val="ListBullet"/>
            </w:pPr>
            <w:r w:rsidRPr="00AB2BEE">
              <w:t>reengineering, including new plant and equipment, modification of existing plant and equipment and changes to specification of product or process.</w:t>
            </w:r>
          </w:p>
          <w:p w:rsidR="00000000" w:rsidP="00AB2BEE">
            <w:pPr>
              <w:pStyle w:val="BodyText"/>
              <w:rPr>
                <w:lang w:val="en-NZ"/>
              </w:rPr>
            </w:pPr>
          </w:p>
        </w:tc>
      </w:tr>
      <w:tr w:rsidTr="00AB2BEE">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rPr>
                <w:rStyle w:val="SpecialBold"/>
              </w:rPr>
              <w:t>Product includes</w:t>
            </w:r>
          </w:p>
        </w:tc>
        <w:tc>
          <w:tcPr>
            <w:tcW w:w="6835" w:type="dxa"/>
            <w:tcBorders>
              <w:top w:val="nil"/>
              <w:left w:val="nil"/>
              <w:bottom w:val="nil"/>
              <w:right w:val="nil"/>
            </w:tcBorders>
            <w:tcMar>
              <w:top w:w="0" w:type="dxa"/>
              <w:left w:w="62" w:type="dxa"/>
              <w:bottom w:w="0" w:type="dxa"/>
              <w:right w:w="62" w:type="dxa"/>
            </w:tcMar>
          </w:tcPr>
          <w:p w:rsidR="00000000" w:rsidRPr="00AB2BEE" w:rsidP="00AB2BEE">
            <w:pPr>
              <w:pStyle w:val="ListBullet"/>
            </w:pPr>
            <w:r w:rsidRPr="00AB2BEE">
              <w:t>goods</w:t>
            </w:r>
          </w:p>
          <w:p w:rsidR="00000000" w:rsidRPr="00AB2BEE" w:rsidP="00AB2BEE">
            <w:pPr>
              <w:pStyle w:val="ListBullet"/>
            </w:pPr>
            <w:r w:rsidRPr="00AB2BEE">
              <w:t>services.</w:t>
            </w:r>
          </w:p>
          <w:p w:rsidR="00000000" w:rsidP="00AB2BEE">
            <w:pPr>
              <w:pStyle w:val="BodyText"/>
              <w:rPr>
                <w:lang w:val="en-NZ"/>
              </w:rPr>
            </w:pPr>
          </w:p>
        </w:tc>
      </w:tr>
      <w:tr w:rsidTr="00AB2BEE">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AB2BEE">
            <w:pPr>
              <w:pStyle w:val="BodyText"/>
              <w:rPr>
                <w:lang w:val="en-NZ"/>
              </w:rPr>
            </w:pPr>
            <w:r w:rsidRPr="00AB2BEE">
              <w:rPr>
                <w:rStyle w:val="SpecialBold"/>
              </w:rPr>
              <w:t>Desirability ranking includes one or more of</w:t>
            </w:r>
          </w:p>
        </w:tc>
        <w:tc>
          <w:tcPr>
            <w:tcW w:w="6835" w:type="dxa"/>
            <w:tcBorders>
              <w:top w:val="nil"/>
              <w:left w:val="nil"/>
              <w:bottom w:val="nil"/>
              <w:right w:val="nil"/>
            </w:tcBorders>
            <w:tcMar>
              <w:top w:w="0" w:type="dxa"/>
              <w:left w:w="62" w:type="dxa"/>
              <w:bottom w:w="0" w:type="dxa"/>
              <w:right w:w="62" w:type="dxa"/>
            </w:tcMar>
          </w:tcPr>
          <w:p w:rsidR="00000000" w:rsidRPr="00AB2BEE" w:rsidP="00AB2BEE">
            <w:pPr>
              <w:pStyle w:val="ListBullet"/>
            </w:pPr>
            <w:r w:rsidRPr="00AB2BEE">
              <w:t>direct dollar benefit/cos</w:t>
            </w:r>
            <w:r w:rsidRPr="00AB2BEE">
              <w:t>t</w:t>
            </w:r>
          </w:p>
          <w:p w:rsidR="00000000" w:rsidRPr="00AB2BEE" w:rsidP="00AB2BEE">
            <w:pPr>
              <w:pStyle w:val="ListBullet"/>
            </w:pPr>
            <w:r w:rsidRPr="00AB2BEE">
              <w:t>customer benefits</w:t>
            </w:r>
          </w:p>
          <w:p w:rsidR="00000000" w:rsidRPr="00AB2BEE" w:rsidP="00AB2BEE">
            <w:pPr>
              <w:pStyle w:val="ListBullet"/>
            </w:pPr>
            <w:r w:rsidRPr="00AB2BEE">
              <w:t>stakeholder perception</w:t>
            </w:r>
          </w:p>
          <w:p w:rsidR="00000000" w:rsidRPr="00AB2BEE" w:rsidP="00AB2BEE">
            <w:pPr>
              <w:pStyle w:val="ListBullet"/>
            </w:pPr>
            <w:r w:rsidRPr="00AB2BEE">
              <w:t>life cycle improvements</w:t>
            </w:r>
          </w:p>
          <w:p w:rsidR="00000000" w:rsidRPr="00AB2BEE" w:rsidP="00AB2BEE">
            <w:pPr>
              <w:pStyle w:val="ListBullet"/>
            </w:pPr>
            <w:r w:rsidRPr="00AB2BEE">
              <w:t>flexibility to adapt to future needs.</w:t>
            </w:r>
          </w:p>
          <w:p w:rsidR="00000000" w:rsidRPr="00AB2BEE" w:rsidP="00AB2BEE">
            <w:pPr>
              <w:pStyle w:val="BodyText"/>
            </w:pPr>
          </w:p>
        </w:tc>
      </w:tr>
    </w:tbl>
    <w:p w:rsidR="00000000" w:rsidRPr="00AB2BEE" w:rsidP="00AB2BEE">
      <w:pPr>
        <w:pStyle w:val="BodyText"/>
      </w:pPr>
    </w:p>
    <w:p w:rsidR="00000000" w:rsidRPr="00AB2BEE" w:rsidP="00AB2BEE">
      <w:pPr>
        <w:pStyle w:val="AllowPageBreak"/>
      </w:pPr>
    </w:p>
    <w:p w:rsidR="00000000" w:rsidRPr="00AB2BEE" w:rsidP="00AB2BEE">
      <w:pPr>
        <w:pStyle w:val="Heading1"/>
      </w:pPr>
      <w:bookmarkStart w:id="9" w:name="O_923211"/>
      <w:bookmarkEnd w:id="9"/>
      <w:r w:rsidRPr="00AB2BEE">
        <w:t>Unit Mapping Information</w:t>
      </w:r>
    </w:p>
    <w:p w:rsidR="00000000" w:rsidRPr="00AB2BEE" w:rsidP="00AB2BEE">
      <w:pPr>
        <w:pStyle w:val="BodyText"/>
      </w:pPr>
      <w:r w:rsidRPr="00AB2BEE">
        <w:t xml:space="preserve">Release 1. Supersedes and is equivalent to MSS015016A Implement and monitor reengineering for sustainability. </w:t>
      </w:r>
    </w:p>
    <w:p w:rsidR="00000000" w:rsidRPr="00AB2BEE" w:rsidP="00AB2BEE">
      <w:pPr>
        <w:pStyle w:val="AllowPageBreak"/>
      </w:pPr>
    </w:p>
    <w:p w:rsidR="00000000" w:rsidRPr="00AB2BEE" w:rsidP="00AB2BEE">
      <w:pPr>
        <w:pStyle w:val="Heading1"/>
      </w:pPr>
      <w:bookmarkStart w:id="10" w:name="O_923204"/>
      <w:bookmarkEnd w:id="10"/>
      <w:r w:rsidRPr="00AB2BEE">
        <w:t>Links</w:t>
      </w:r>
    </w:p>
    <w:p w:rsidR="00000000" w:rsidRPr="00AB2BEE" w:rsidP="00AB2BEE">
      <w:pPr>
        <w:pStyle w:val="BodyText"/>
      </w:pPr>
      <w:r w:rsidRPr="00AB2BEE">
        <w:t>MSA Training Package Implementation Guides - http://mskills.org.au/training-packages/info/</w:t>
      </w:r>
    </w:p>
    <w:p w:rsidR="00000000" w:rsidRPr="00AB2BEE" w:rsidP="00AB2BEE"/>
    <w:sectPr w:rsidSect="00AB2B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B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BEE" w:rsidRPr="009F4DC3" w:rsidP="009F4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B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C3" w:rsidP="00AB2B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F4DC3" w:rsidP="00AB2BE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4DC3" w:rsidP="00AB2B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B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BEE" w:rsidRPr="009F4DC3" w:rsidP="009F4D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B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C3" w:rsidRPr="002D2AF8" w:rsidP="00AB2BEE">
    <w:pPr>
      <w:pStyle w:val="Header"/>
      <w:framePr w:wrap="around"/>
    </w:pPr>
    <w:r>
      <w:fldChar w:fldCharType="begin"/>
    </w:r>
    <w:r>
      <w:instrText xml:space="preserve"> TITLE   \* MERGEFORMAT </w:instrText>
    </w:r>
    <w:r>
      <w:fldChar w:fldCharType="separate"/>
    </w:r>
    <w:r>
      <w:t>MSS015016 Implement and monitor reengineering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F4DC3" w:rsidP="00AB2B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B869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881F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B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2BEE"/>
    <w:pPr>
      <w:spacing w:before="360" w:after="60"/>
      <w:outlineLvl w:val="0"/>
    </w:pPr>
    <w:rPr>
      <w:sz w:val="32"/>
    </w:rPr>
  </w:style>
  <w:style w:type="paragraph" w:styleId="Heading2">
    <w:name w:val="heading 2"/>
    <w:basedOn w:val="HeadingBase"/>
    <w:next w:val="BodyText"/>
    <w:link w:val="Heading2Char"/>
    <w:qFormat/>
    <w:rsid w:val="00AB2BEE"/>
    <w:pPr>
      <w:keepLines/>
      <w:spacing w:before="240" w:after="120"/>
      <w:outlineLvl w:val="1"/>
    </w:pPr>
    <w:rPr>
      <w:sz w:val="28"/>
      <w:szCs w:val="40"/>
    </w:rPr>
  </w:style>
  <w:style w:type="paragraph" w:styleId="Heading3">
    <w:name w:val="heading 3"/>
    <w:basedOn w:val="HeadingBase"/>
    <w:next w:val="BodyText"/>
    <w:link w:val="Heading3Char"/>
    <w:qFormat/>
    <w:rsid w:val="00AB2BEE"/>
    <w:pPr>
      <w:spacing w:before="180" w:after="120"/>
      <w:outlineLvl w:val="2"/>
    </w:pPr>
    <w:rPr>
      <w:spacing w:val="-10"/>
      <w:kern w:val="32"/>
    </w:rPr>
  </w:style>
  <w:style w:type="paragraph" w:styleId="Heading4">
    <w:name w:val="heading 4"/>
    <w:basedOn w:val="HeadingBase"/>
    <w:next w:val="BodyText"/>
    <w:link w:val="Heading4Char"/>
    <w:qFormat/>
    <w:rsid w:val="00AB2BEE"/>
    <w:pPr>
      <w:spacing w:before="160" w:after="120"/>
      <w:outlineLvl w:val="3"/>
    </w:pPr>
    <w:rPr>
      <w:sz w:val="22"/>
    </w:rPr>
  </w:style>
  <w:style w:type="paragraph" w:styleId="Heading5">
    <w:name w:val="heading 5"/>
    <w:basedOn w:val="HeadingBase"/>
    <w:next w:val="Normal"/>
    <w:link w:val="Heading5Char"/>
    <w:qFormat/>
    <w:rsid w:val="00AB2BEE"/>
    <w:pPr>
      <w:spacing w:before="80"/>
      <w:outlineLvl w:val="4"/>
    </w:pPr>
    <w:rPr>
      <w:color w:val="918585"/>
      <w:sz w:val="20"/>
    </w:rPr>
  </w:style>
  <w:style w:type="paragraph" w:styleId="Heading6">
    <w:name w:val="heading 6"/>
    <w:basedOn w:val="HeadingBase"/>
    <w:next w:val="Normal"/>
    <w:link w:val="Heading6Char"/>
    <w:qFormat/>
    <w:rsid w:val="00AB2BEE"/>
    <w:pPr>
      <w:spacing w:before="60"/>
      <w:outlineLvl w:val="5"/>
    </w:pPr>
    <w:rPr>
      <w:color w:val="918585"/>
      <w:sz w:val="20"/>
    </w:rPr>
  </w:style>
  <w:style w:type="paragraph" w:styleId="Heading7">
    <w:name w:val="heading 7"/>
    <w:basedOn w:val="Normal"/>
    <w:next w:val="Normal"/>
    <w:link w:val="Heading7Char"/>
    <w:qFormat/>
    <w:rsid w:val="00AB2BEE"/>
    <w:pPr>
      <w:ind w:left="720"/>
      <w:outlineLvl w:val="6"/>
    </w:pPr>
    <w:rPr>
      <w:i/>
    </w:rPr>
  </w:style>
  <w:style w:type="paragraph" w:styleId="Heading8">
    <w:name w:val="heading 8"/>
    <w:basedOn w:val="Normal"/>
    <w:next w:val="Normal"/>
    <w:link w:val="Heading8Char"/>
    <w:qFormat/>
    <w:rsid w:val="00AB2BEE"/>
    <w:pPr>
      <w:ind w:left="720"/>
      <w:outlineLvl w:val="7"/>
    </w:pPr>
    <w:rPr>
      <w:i/>
    </w:rPr>
  </w:style>
  <w:style w:type="paragraph" w:styleId="Heading9">
    <w:name w:val="heading 9"/>
    <w:basedOn w:val="Normal"/>
    <w:next w:val="Normal"/>
    <w:link w:val="Heading9Char"/>
    <w:qFormat/>
    <w:rsid w:val="00AB2BEE"/>
    <w:pPr>
      <w:ind w:left="720"/>
      <w:outlineLvl w:val="8"/>
    </w:pPr>
    <w:rPr>
      <w:i/>
    </w:rPr>
  </w:style>
  <w:style w:type="character" w:default="1" w:styleId="DefaultParagraphFont">
    <w:name w:val="Default Paragraph Font"/>
    <w:uiPriority w:val="1"/>
    <w:unhideWhenUsed/>
    <w:rsid w:val="00AB2B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BEE"/>
  </w:style>
  <w:style w:type="character" w:customStyle="1" w:styleId="Heading1Char">
    <w:name w:val="Heading 1 Char"/>
    <w:basedOn w:val="DefaultParagraphFont"/>
    <w:link w:val="Heading1"/>
    <w:rsid w:val="00AB2BEE"/>
    <w:rPr>
      <w:rFonts w:ascii="Times New Roman" w:eastAsia="Times New Roman" w:hAnsi="Times New Roman" w:cs="Times New Roman"/>
      <w:b/>
      <w:sz w:val="32"/>
      <w:szCs w:val="20"/>
      <w:lang w:eastAsia="en-US"/>
    </w:rPr>
  </w:style>
  <w:style w:type="paragraph" w:styleId="BodyText">
    <w:name w:val="Body Text"/>
    <w:basedOn w:val="Normal"/>
    <w:link w:val="BodyTextChar"/>
    <w:rsid w:val="00AB2B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2BEE"/>
    <w:rPr>
      <w:rFonts w:ascii="Times New Roman" w:eastAsia="Times New Roman" w:hAnsi="Times New Roman" w:cs="Times New Roman"/>
      <w:sz w:val="24"/>
      <w:lang w:eastAsia="en-US"/>
    </w:rPr>
  </w:style>
  <w:style w:type="paragraph" w:styleId="ListBullet">
    <w:name w:val="List Bullet"/>
    <w:basedOn w:val="List"/>
    <w:rsid w:val="00AB2BEE"/>
    <w:pPr>
      <w:numPr>
        <w:numId w:val="12"/>
      </w:numPr>
      <w:tabs>
        <w:tab w:val="clear" w:pos="340"/>
      </w:tabs>
      <w:spacing w:before="40" w:after="40"/>
    </w:pPr>
  </w:style>
  <w:style w:type="character" w:customStyle="1" w:styleId="SpecialBold">
    <w:name w:val="Special Bold"/>
    <w:basedOn w:val="DefaultParagraphFont"/>
    <w:rsid w:val="00AB2BEE"/>
    <w:rPr>
      <w:b/>
      <w:spacing w:val="0"/>
    </w:rPr>
  </w:style>
  <w:style w:type="paragraph" w:customStyle="1" w:styleId="SuperHeading">
    <w:name w:val="SuperHeading"/>
    <w:basedOn w:val="Normal"/>
    <w:rsid w:val="00AB2BEE"/>
    <w:pPr>
      <w:spacing w:before="240" w:after="120"/>
      <w:outlineLvl w:val="0"/>
    </w:pPr>
    <w:rPr>
      <w:rFonts w:ascii="Times New Roman" w:hAnsi="Times New Roman"/>
      <w:b/>
      <w:sz w:val="32"/>
    </w:rPr>
  </w:style>
  <w:style w:type="paragraph" w:customStyle="1" w:styleId="AllowPageBreak">
    <w:name w:val="AllowPageBreak"/>
    <w:rsid w:val="00AB2B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2B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B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B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B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B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B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2B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2BEE"/>
    <w:rPr>
      <w:rFonts w:ascii="Courier New" w:eastAsia="Times New Roman" w:hAnsi="Courier New" w:cs="Times New Roman"/>
      <w:i/>
      <w:szCs w:val="20"/>
      <w:lang w:eastAsia="en-US"/>
    </w:rPr>
  </w:style>
  <w:style w:type="paragraph" w:customStyle="1" w:styleId="HeadingBase">
    <w:name w:val="Heading Base"/>
    <w:rsid w:val="00AB2B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BEE"/>
    <w:pPr>
      <w:tabs>
        <w:tab w:val="right" w:leader="dot" w:pos="9072"/>
      </w:tabs>
      <w:ind w:left="567"/>
    </w:pPr>
    <w:rPr>
      <w:szCs w:val="22"/>
    </w:rPr>
  </w:style>
  <w:style w:type="paragraph" w:customStyle="1" w:styleId="TOCBase">
    <w:name w:val="TOC Base"/>
    <w:rsid w:val="00AB2B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BEE"/>
    <w:pPr>
      <w:tabs>
        <w:tab w:val="right" w:leader="dot" w:pos="9072"/>
      </w:tabs>
      <w:spacing w:before="40" w:after="40"/>
      <w:ind w:left="284"/>
    </w:pPr>
    <w:rPr>
      <w:rFonts w:ascii="Times New Roman" w:hAnsi="Times New Roman"/>
    </w:rPr>
  </w:style>
  <w:style w:type="paragraph" w:styleId="TOC1">
    <w:name w:val="toc 1"/>
    <w:basedOn w:val="TOCBase"/>
    <w:next w:val="Normal"/>
    <w:rsid w:val="00AB2B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2B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BEE"/>
    <w:rPr>
      <w:rFonts w:ascii="Times New Roman" w:eastAsia="Times New Roman" w:hAnsi="Times New Roman" w:cs="Times New Roman"/>
      <w:sz w:val="16"/>
      <w:lang w:eastAsia="en-US"/>
    </w:rPr>
  </w:style>
  <w:style w:type="paragraph" w:styleId="Title">
    <w:name w:val="Title"/>
    <w:basedOn w:val="HeadingBase"/>
    <w:link w:val="TitleChar"/>
    <w:qFormat/>
    <w:rsid w:val="00AB2BEE"/>
    <w:pPr>
      <w:spacing w:before="5040"/>
      <w:jc w:val="center"/>
    </w:pPr>
    <w:rPr>
      <w:sz w:val="48"/>
      <w:szCs w:val="72"/>
      <w:lang w:val="en-US"/>
    </w:rPr>
  </w:style>
  <w:style w:type="character" w:customStyle="1" w:styleId="TitleChar">
    <w:name w:val="Title Char"/>
    <w:basedOn w:val="DefaultParagraphFont"/>
    <w:link w:val="Title"/>
    <w:rsid w:val="00AB2B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BEE"/>
    <w:pPr>
      <w:tabs>
        <w:tab w:val="left" w:pos="3600"/>
        <w:tab w:val="left" w:pos="3958"/>
      </w:tabs>
    </w:pPr>
  </w:style>
  <w:style w:type="paragraph" w:styleId="List">
    <w:name w:val="List"/>
    <w:basedOn w:val="BodyText"/>
    <w:next w:val="BodyText"/>
    <w:rsid w:val="00AB2BEE"/>
    <w:pPr>
      <w:tabs>
        <w:tab w:val="left" w:pos="340"/>
      </w:tabs>
      <w:spacing w:before="60" w:after="60"/>
      <w:ind w:left="340" w:hanging="340"/>
    </w:pPr>
  </w:style>
  <w:style w:type="paragraph" w:customStyle="1" w:styleId="Note">
    <w:name w:val="Note"/>
    <w:basedOn w:val="BodyText"/>
    <w:rsid w:val="00AB2B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BEE"/>
    <w:pPr>
      <w:framePr w:wrap="auto" w:hAnchor="text" w:y="6049"/>
    </w:pPr>
    <w:rPr>
      <w:color w:val="000000"/>
      <w:sz w:val="40"/>
    </w:rPr>
  </w:style>
  <w:style w:type="paragraph" w:customStyle="1" w:styleId="TOCTitle">
    <w:name w:val="TOCTitle"/>
    <w:basedOn w:val="Heading1"/>
    <w:rsid w:val="00AB2BEE"/>
    <w:pPr>
      <w:spacing w:after="240"/>
      <w:jc w:val="center"/>
      <w:outlineLvl w:val="9"/>
    </w:pPr>
    <w:rPr>
      <w:caps/>
    </w:rPr>
  </w:style>
  <w:style w:type="paragraph" w:customStyle="1" w:styleId="Version">
    <w:name w:val="Version"/>
    <w:rsid w:val="00AB2B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2BEE"/>
    <w:pPr>
      <w:numPr>
        <w:numId w:val="13"/>
      </w:numPr>
      <w:tabs>
        <w:tab w:val="clear" w:pos="680"/>
      </w:tabs>
    </w:pPr>
  </w:style>
  <w:style w:type="paragraph" w:styleId="Index1">
    <w:name w:val="index 1"/>
    <w:basedOn w:val="Normal"/>
    <w:next w:val="Normal"/>
    <w:semiHidden/>
    <w:rsid w:val="00AB2BEE"/>
    <w:pPr>
      <w:keepNext w:val="0"/>
      <w:tabs>
        <w:tab w:val="right" w:pos="4176"/>
      </w:tabs>
      <w:ind w:left="198" w:hanging="198"/>
    </w:pPr>
    <w:rPr>
      <w:rFonts w:ascii="Garamond" w:hAnsi="Garamond"/>
    </w:rPr>
  </w:style>
  <w:style w:type="paragraph" w:styleId="IndexHeading">
    <w:name w:val="index heading"/>
    <w:basedOn w:val="Normal"/>
    <w:next w:val="Index1"/>
    <w:semiHidden/>
    <w:rsid w:val="00AB2BEE"/>
    <w:pPr>
      <w:spacing w:before="120" w:after="120"/>
    </w:pPr>
    <w:rPr>
      <w:rFonts w:ascii="Arial" w:hAnsi="Arial"/>
      <w:b/>
      <w:color w:val="918585"/>
      <w:sz w:val="24"/>
    </w:rPr>
  </w:style>
  <w:style w:type="paragraph" w:styleId="Header">
    <w:name w:val="header"/>
    <w:basedOn w:val="Normal"/>
    <w:link w:val="HeaderChar"/>
    <w:rsid w:val="00AB2B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BEE"/>
    <w:rPr>
      <w:rFonts w:ascii="Times New Roman" w:eastAsia="Times New Roman" w:hAnsi="Times New Roman" w:cs="Times New Roman"/>
      <w:sz w:val="16"/>
      <w:szCs w:val="20"/>
      <w:lang w:val="en-GB" w:eastAsia="en-US"/>
    </w:rPr>
  </w:style>
  <w:style w:type="paragraph" w:customStyle="1" w:styleId="Chapter">
    <w:name w:val="Chapter"/>
    <w:basedOn w:val="Normal"/>
    <w:rsid w:val="00AB2BEE"/>
    <w:pPr>
      <w:spacing w:before="240"/>
    </w:pPr>
    <w:rPr>
      <w:rFonts w:ascii="Times New Roman" w:hAnsi="Times New Roman"/>
      <w:smallCaps/>
      <w:spacing w:val="80"/>
      <w:sz w:val="28"/>
    </w:rPr>
  </w:style>
  <w:style w:type="paragraph" w:customStyle="1" w:styleId="InChapter">
    <w:name w:val="InChapter"/>
    <w:basedOn w:val="Heading3"/>
    <w:rsid w:val="00AB2BEE"/>
    <w:pPr>
      <w:spacing w:after="240"/>
      <w:outlineLvl w:val="9"/>
    </w:pPr>
    <w:rPr>
      <w:noProof/>
    </w:rPr>
  </w:style>
  <w:style w:type="paragraph" w:styleId="Index2">
    <w:name w:val="index 2"/>
    <w:basedOn w:val="Normal"/>
    <w:next w:val="Normal"/>
    <w:semiHidden/>
    <w:rsid w:val="00AB2BEE"/>
    <w:pPr>
      <w:tabs>
        <w:tab w:val="right" w:pos="4176"/>
      </w:tabs>
      <w:ind w:left="568" w:hanging="284"/>
    </w:pPr>
    <w:rPr>
      <w:rFonts w:ascii="Garamond" w:hAnsi="Garamond"/>
    </w:rPr>
  </w:style>
  <w:style w:type="paragraph" w:customStyle="1" w:styleId="Byline">
    <w:name w:val="Byline"/>
    <w:rsid w:val="00AB2B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BEE"/>
    <w:pPr>
      <w:tabs>
        <w:tab w:val="clear" w:pos="3600"/>
        <w:tab w:val="clear" w:pos="3958"/>
      </w:tabs>
      <w:jc w:val="right"/>
    </w:pPr>
  </w:style>
  <w:style w:type="character" w:styleId="Emphasis">
    <w:name w:val="Emphasis"/>
    <w:basedOn w:val="DefaultParagraphFont"/>
    <w:qFormat/>
    <w:rsid w:val="00AB2BEE"/>
    <w:rPr>
      <w:i/>
    </w:rPr>
  </w:style>
  <w:style w:type="paragraph" w:styleId="Caption">
    <w:name w:val="caption"/>
    <w:basedOn w:val="BodyText"/>
    <w:next w:val="Normal"/>
    <w:qFormat/>
    <w:rsid w:val="00AB2BEE"/>
    <w:pPr>
      <w:framePr w:w="2268" w:hSpace="181" w:vSpace="181" w:wrap="around" w:vAnchor="text" w:hAnchor="page" w:x="1135" w:y="285" w:anchorLock="1"/>
    </w:pPr>
    <w:rPr>
      <w:i/>
    </w:rPr>
  </w:style>
  <w:style w:type="paragraph" w:customStyle="1" w:styleId="MiniTOCTitle">
    <w:name w:val="MiniTOCTitle"/>
    <w:basedOn w:val="Heading4"/>
    <w:rsid w:val="00AB2BEE"/>
    <w:pPr>
      <w:spacing w:before="240"/>
      <w:outlineLvl w:val="9"/>
    </w:pPr>
    <w:rPr>
      <w:noProof/>
      <w:sz w:val="24"/>
    </w:rPr>
  </w:style>
  <w:style w:type="paragraph" w:customStyle="1" w:styleId="MiniTOCItem">
    <w:name w:val="MiniTOCItem"/>
    <w:basedOn w:val="ListBullet"/>
    <w:rsid w:val="00AB2BEE"/>
    <w:pPr>
      <w:numPr>
        <w:numId w:val="0"/>
      </w:numPr>
      <w:tabs>
        <w:tab w:val="right" w:leader="dot" w:pos="6521"/>
      </w:tabs>
      <w:spacing w:before="0" w:after="0"/>
    </w:pPr>
  </w:style>
  <w:style w:type="paragraph" w:customStyle="1" w:styleId="TOFTitle">
    <w:name w:val="TOFTitle"/>
    <w:basedOn w:val="TOCTitle"/>
    <w:rsid w:val="00AB2BEE"/>
  </w:style>
  <w:style w:type="paragraph" w:styleId="TableofFigures">
    <w:name w:val="table of figures"/>
    <w:basedOn w:val="Normal"/>
    <w:next w:val="Normal"/>
    <w:semiHidden/>
    <w:rsid w:val="00AB2BEE"/>
    <w:pPr>
      <w:tabs>
        <w:tab w:val="right" w:leader="dot" w:pos="9072"/>
      </w:tabs>
      <w:ind w:left="970" w:hanging="403"/>
    </w:pPr>
    <w:rPr>
      <w:rFonts w:ascii="Times New Roman" w:hAnsi="Times New Roman"/>
      <w:b/>
    </w:rPr>
  </w:style>
  <w:style w:type="paragraph" w:styleId="ListNumber">
    <w:name w:val="List Number"/>
    <w:basedOn w:val="List"/>
    <w:rsid w:val="00AB2BEE"/>
    <w:pPr>
      <w:numPr>
        <w:numId w:val="10"/>
      </w:numPr>
    </w:pPr>
  </w:style>
  <w:style w:type="character" w:customStyle="1" w:styleId="WingdingSymbols">
    <w:name w:val="Wingding Symbols"/>
    <w:rsid w:val="00AB2BEE"/>
    <w:rPr>
      <w:rFonts w:ascii="Wingdings" w:hAnsi="Wingdings"/>
    </w:rPr>
  </w:style>
  <w:style w:type="paragraph" w:customStyle="1" w:styleId="TableHeading">
    <w:name w:val="Table Heading"/>
    <w:basedOn w:val="HeadingBase"/>
    <w:rsid w:val="00AB2BEE"/>
    <w:pPr>
      <w:keepLines/>
      <w:pBdr>
        <w:bottom w:val="single" w:sz="6" w:space="1" w:color="918585"/>
      </w:pBdr>
      <w:spacing w:before="240"/>
    </w:pPr>
  </w:style>
  <w:style w:type="character" w:customStyle="1" w:styleId="HotSpot">
    <w:name w:val="HotSpot"/>
    <w:rsid w:val="00AB2BEE"/>
    <w:rPr>
      <w:color w:val="0033CC"/>
      <w:u w:val="none"/>
    </w:rPr>
  </w:style>
  <w:style w:type="paragraph" w:customStyle="1" w:styleId="BodyTextRight">
    <w:name w:val="Body Text Right"/>
    <w:basedOn w:val="BodyText"/>
    <w:rsid w:val="00AB2BEE"/>
    <w:pPr>
      <w:spacing w:before="0" w:after="0"/>
      <w:jc w:val="right"/>
    </w:pPr>
  </w:style>
  <w:style w:type="paragraph" w:styleId="Index3">
    <w:name w:val="index 3"/>
    <w:basedOn w:val="ListNumber2"/>
    <w:next w:val="Normal"/>
    <w:semiHidden/>
    <w:rsid w:val="00AB2BEE"/>
    <w:pPr>
      <w:numPr>
        <w:numId w:val="0"/>
      </w:numPr>
      <w:tabs>
        <w:tab w:val="right" w:leader="dot" w:pos="4176"/>
      </w:tabs>
    </w:pPr>
  </w:style>
  <w:style w:type="paragraph" w:styleId="ListNumber2">
    <w:name w:val="List Number 2"/>
    <w:basedOn w:val="List2"/>
    <w:rsid w:val="00AB2BEE"/>
    <w:pPr>
      <w:numPr>
        <w:numId w:val="9"/>
      </w:numPr>
      <w:tabs>
        <w:tab w:val="clear" w:pos="1060"/>
      </w:tabs>
    </w:pPr>
  </w:style>
  <w:style w:type="paragraph" w:customStyle="1" w:styleId="MarginNote">
    <w:name w:val="Margin Note"/>
    <w:basedOn w:val="BodyText"/>
    <w:rsid w:val="00AB2B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B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B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2BEE"/>
    <w:rPr>
      <w:sz w:val="32"/>
    </w:rPr>
  </w:style>
  <w:style w:type="paragraph" w:customStyle="1" w:styleId="HeadingProcedure">
    <w:name w:val="Heading Procedure"/>
    <w:basedOn w:val="HeadingBase"/>
    <w:next w:val="Normal"/>
    <w:rsid w:val="00AB2BEE"/>
    <w:pPr>
      <w:tabs>
        <w:tab w:val="left" w:pos="0"/>
      </w:tabs>
      <w:spacing w:before="120" w:after="60"/>
    </w:pPr>
    <w:rPr>
      <w:i/>
      <w:color w:val="918585"/>
      <w:sz w:val="22"/>
    </w:rPr>
  </w:style>
  <w:style w:type="paragraph" w:customStyle="1" w:styleId="TableBodyText">
    <w:name w:val="Table Body Text"/>
    <w:basedOn w:val="BodyText"/>
    <w:rsid w:val="00AB2BEE"/>
    <w:pPr>
      <w:spacing w:before="60" w:after="60"/>
    </w:pPr>
  </w:style>
  <w:style w:type="paragraph" w:styleId="ListContinue">
    <w:name w:val="List Continue"/>
    <w:basedOn w:val="List"/>
    <w:rsid w:val="00AB2BEE"/>
    <w:pPr>
      <w:ind w:firstLine="0"/>
    </w:pPr>
  </w:style>
  <w:style w:type="paragraph" w:customStyle="1" w:styleId="ListNote">
    <w:name w:val="List Note"/>
    <w:basedOn w:val="List"/>
    <w:rsid w:val="00AB2BEE"/>
    <w:pPr>
      <w:pBdr>
        <w:top w:val="single" w:sz="6" w:space="2" w:color="918585"/>
        <w:bottom w:val="single" w:sz="6" w:space="2" w:color="918585"/>
      </w:pBdr>
      <w:tabs>
        <w:tab w:val="left" w:pos="1021"/>
      </w:tabs>
      <w:ind w:firstLine="0"/>
    </w:pPr>
  </w:style>
  <w:style w:type="paragraph" w:customStyle="1" w:styleId="Warning">
    <w:name w:val="Warning"/>
    <w:basedOn w:val="BodyText"/>
    <w:rsid w:val="00AB2BEE"/>
    <w:pPr>
      <w:shd w:val="clear" w:color="auto" w:fill="D9D9D9"/>
      <w:tabs>
        <w:tab w:val="left" w:pos="992"/>
      </w:tabs>
      <w:ind w:left="119" w:right="119"/>
    </w:pPr>
    <w:rPr>
      <w:sz w:val="20"/>
    </w:rPr>
  </w:style>
  <w:style w:type="paragraph" w:customStyle="1" w:styleId="MarginIcons">
    <w:name w:val="Margin Icons"/>
    <w:basedOn w:val="BodyText"/>
    <w:rsid w:val="00AB2B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BEE"/>
    <w:rPr>
      <w:rFonts w:ascii="Courier New" w:hAnsi="Courier New"/>
    </w:rPr>
  </w:style>
  <w:style w:type="paragraph" w:customStyle="1" w:styleId="NoteBullet">
    <w:name w:val="Note Bullet"/>
    <w:basedOn w:val="Note"/>
    <w:rsid w:val="00AB2BEE"/>
    <w:pPr>
      <w:tabs>
        <w:tab w:val="clear" w:pos="680"/>
      </w:tabs>
      <w:spacing w:before="60" w:after="60"/>
    </w:pPr>
  </w:style>
  <w:style w:type="paragraph" w:customStyle="1" w:styleId="SubHeading2">
    <w:name w:val="SubHeading2"/>
    <w:basedOn w:val="HeadingBase"/>
    <w:rsid w:val="00AB2BEE"/>
    <w:pPr>
      <w:spacing w:before="240" w:after="60"/>
    </w:pPr>
    <w:rPr>
      <w:sz w:val="20"/>
    </w:rPr>
  </w:style>
  <w:style w:type="paragraph" w:customStyle="1" w:styleId="SubHeading1">
    <w:name w:val="SubHeading1"/>
    <w:basedOn w:val="HeadingBase"/>
    <w:rsid w:val="00AB2BEE"/>
    <w:pPr>
      <w:spacing w:before="240" w:after="60"/>
    </w:pPr>
    <w:rPr>
      <w:color w:val="918585"/>
      <w:sz w:val="22"/>
    </w:rPr>
  </w:style>
  <w:style w:type="paragraph" w:customStyle="1" w:styleId="SideHeading">
    <w:name w:val="Side Heading"/>
    <w:basedOn w:val="HeadingBase"/>
    <w:rsid w:val="00AB2B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BEE"/>
    <w:pPr>
      <w:tabs>
        <w:tab w:val="num" w:pos="360"/>
      </w:tabs>
    </w:pPr>
  </w:style>
  <w:style w:type="paragraph" w:styleId="PlainText">
    <w:name w:val="Plain Text"/>
    <w:basedOn w:val="Normal"/>
    <w:link w:val="PlainTextChar"/>
    <w:rsid w:val="00AB2BEE"/>
    <w:rPr>
      <w:sz w:val="20"/>
    </w:rPr>
  </w:style>
  <w:style w:type="character" w:customStyle="1" w:styleId="PlainTextChar">
    <w:name w:val="Plain Text Char"/>
    <w:basedOn w:val="DefaultParagraphFont"/>
    <w:link w:val="PlainText"/>
    <w:rsid w:val="00AB2BEE"/>
    <w:rPr>
      <w:rFonts w:ascii="Courier New" w:eastAsia="Times New Roman" w:hAnsi="Courier New" w:cs="Times New Roman"/>
      <w:sz w:val="20"/>
      <w:szCs w:val="20"/>
      <w:lang w:eastAsia="en-US"/>
    </w:rPr>
  </w:style>
  <w:style w:type="character" w:customStyle="1" w:styleId="MenuOption">
    <w:name w:val="Menu Option"/>
    <w:basedOn w:val="DefaultParagraphFont"/>
    <w:rsid w:val="00AB2BEE"/>
    <w:rPr>
      <w:b/>
      <w:smallCaps/>
    </w:rPr>
  </w:style>
  <w:style w:type="paragraph" w:customStyle="1" w:styleId="TableListNumber">
    <w:name w:val="Table List Number"/>
    <w:basedOn w:val="ListNumber"/>
    <w:rsid w:val="00AB2BEE"/>
    <w:pPr>
      <w:numPr>
        <w:numId w:val="0"/>
      </w:numPr>
    </w:pPr>
  </w:style>
  <w:style w:type="paragraph" w:styleId="TOC4">
    <w:name w:val="toc 4"/>
    <w:basedOn w:val="TOCBase"/>
    <w:next w:val="Normal"/>
    <w:semiHidden/>
    <w:rsid w:val="00AB2BEE"/>
    <w:pPr>
      <w:tabs>
        <w:tab w:val="right" w:leader="dot" w:pos="9071"/>
      </w:tabs>
      <w:ind w:left="1701"/>
    </w:pPr>
  </w:style>
  <w:style w:type="paragraph" w:customStyle="1" w:styleId="ListAlpha">
    <w:name w:val="List Alpha"/>
    <w:basedOn w:val="List"/>
    <w:rsid w:val="00AB2BEE"/>
    <w:pPr>
      <w:numPr>
        <w:numId w:val="8"/>
      </w:numPr>
    </w:pPr>
  </w:style>
  <w:style w:type="paragraph" w:customStyle="1" w:styleId="ListAlpha2">
    <w:name w:val="List Alpha 2"/>
    <w:basedOn w:val="List2"/>
    <w:rsid w:val="00AB2BEE"/>
    <w:pPr>
      <w:numPr>
        <w:numId w:val="7"/>
      </w:numPr>
    </w:pPr>
  </w:style>
  <w:style w:type="paragraph" w:styleId="List2">
    <w:name w:val="List 2"/>
    <w:basedOn w:val="BodyText"/>
    <w:rsid w:val="00AB2BEE"/>
    <w:pPr>
      <w:tabs>
        <w:tab w:val="left" w:pos="680"/>
      </w:tabs>
      <w:spacing w:before="60" w:after="60"/>
      <w:ind w:left="680" w:hanging="340"/>
    </w:pPr>
  </w:style>
  <w:style w:type="paragraph" w:styleId="List3">
    <w:name w:val="List 3"/>
    <w:basedOn w:val="BodyText"/>
    <w:rsid w:val="00AB2BEE"/>
    <w:pPr>
      <w:tabs>
        <w:tab w:val="left" w:pos="1021"/>
      </w:tabs>
      <w:spacing w:before="60" w:after="60"/>
      <w:ind w:left="1020" w:hanging="340"/>
    </w:pPr>
  </w:style>
  <w:style w:type="paragraph" w:styleId="List4">
    <w:name w:val="List 4"/>
    <w:basedOn w:val="BodyText"/>
    <w:rsid w:val="00AB2BEE"/>
    <w:pPr>
      <w:tabs>
        <w:tab w:val="left" w:pos="1361"/>
      </w:tabs>
      <w:spacing w:before="60" w:after="60"/>
      <w:ind w:left="1361" w:hanging="340"/>
    </w:pPr>
  </w:style>
  <w:style w:type="paragraph" w:styleId="List5">
    <w:name w:val="List 5"/>
    <w:basedOn w:val="BodyText"/>
    <w:rsid w:val="00AB2BEE"/>
    <w:pPr>
      <w:tabs>
        <w:tab w:val="left" w:pos="1701"/>
      </w:tabs>
      <w:spacing w:before="60" w:after="60"/>
      <w:ind w:left="1701" w:hanging="340"/>
    </w:pPr>
  </w:style>
  <w:style w:type="paragraph" w:styleId="ListBullet3">
    <w:name w:val="List Bullet 3"/>
    <w:basedOn w:val="List3"/>
    <w:rsid w:val="00AB2BEE"/>
    <w:pPr>
      <w:numPr>
        <w:numId w:val="14"/>
      </w:numPr>
      <w:tabs>
        <w:tab w:val="clear" w:pos="1021"/>
      </w:tabs>
      <w:ind w:left="1037" w:hanging="357"/>
    </w:pPr>
  </w:style>
  <w:style w:type="paragraph" w:styleId="ListBullet4">
    <w:name w:val="List Bullet 4"/>
    <w:basedOn w:val="List4"/>
    <w:rsid w:val="00AB2BEE"/>
    <w:pPr>
      <w:numPr>
        <w:numId w:val="2"/>
      </w:numPr>
      <w:tabs>
        <w:tab w:val="clear" w:pos="1361"/>
      </w:tabs>
    </w:pPr>
  </w:style>
  <w:style w:type="paragraph" w:styleId="ListBullet5">
    <w:name w:val="List Bullet 5"/>
    <w:basedOn w:val="List5"/>
    <w:rsid w:val="00AB2BEE"/>
    <w:pPr>
      <w:numPr>
        <w:numId w:val="3"/>
      </w:numPr>
    </w:pPr>
  </w:style>
  <w:style w:type="paragraph" w:styleId="ListContinue2">
    <w:name w:val="List Continue 2"/>
    <w:basedOn w:val="List2"/>
    <w:rsid w:val="00AB2BEE"/>
    <w:pPr>
      <w:ind w:firstLine="0"/>
    </w:pPr>
  </w:style>
  <w:style w:type="paragraph" w:styleId="ListContinue3">
    <w:name w:val="List Continue 3"/>
    <w:basedOn w:val="List3"/>
    <w:rsid w:val="00AB2BEE"/>
    <w:pPr>
      <w:ind w:left="1021" w:firstLine="0"/>
    </w:pPr>
  </w:style>
  <w:style w:type="paragraph" w:styleId="ListContinue4">
    <w:name w:val="List Continue 4"/>
    <w:basedOn w:val="List4"/>
    <w:rsid w:val="00AB2BEE"/>
    <w:pPr>
      <w:ind w:firstLine="0"/>
    </w:pPr>
  </w:style>
  <w:style w:type="paragraph" w:styleId="ListContinue5">
    <w:name w:val="List Continue 5"/>
    <w:basedOn w:val="List5"/>
    <w:rsid w:val="00AB2BEE"/>
    <w:pPr>
      <w:ind w:firstLine="0"/>
    </w:pPr>
  </w:style>
  <w:style w:type="paragraph" w:styleId="ListNumber3">
    <w:name w:val="List Number 3"/>
    <w:basedOn w:val="List3"/>
    <w:rsid w:val="00AB2BEE"/>
    <w:pPr>
      <w:numPr>
        <w:numId w:val="4"/>
      </w:numPr>
    </w:pPr>
  </w:style>
  <w:style w:type="paragraph" w:styleId="ListNumber4">
    <w:name w:val="List Number 4"/>
    <w:basedOn w:val="List4"/>
    <w:rsid w:val="00AB2BEE"/>
    <w:pPr>
      <w:numPr>
        <w:numId w:val="5"/>
      </w:numPr>
    </w:pPr>
  </w:style>
  <w:style w:type="paragraph" w:styleId="ListNumber5">
    <w:name w:val="List Number 5"/>
    <w:basedOn w:val="List5"/>
    <w:rsid w:val="00AB2BEE"/>
    <w:pPr>
      <w:numPr>
        <w:numId w:val="6"/>
      </w:numPr>
    </w:pPr>
  </w:style>
  <w:style w:type="paragraph" w:styleId="BlockText">
    <w:name w:val="Block Text"/>
    <w:basedOn w:val="Normal"/>
    <w:rsid w:val="00AB2BEE"/>
    <w:pPr>
      <w:spacing w:after="120"/>
      <w:ind w:left="1440" w:right="1440"/>
    </w:pPr>
  </w:style>
  <w:style w:type="character" w:customStyle="1" w:styleId="Subscript">
    <w:name w:val="Subscript"/>
    <w:basedOn w:val="DefaultParagraphFont"/>
    <w:rsid w:val="00AB2BEE"/>
    <w:rPr>
      <w:sz w:val="16"/>
      <w:vertAlign w:val="subscript"/>
    </w:rPr>
  </w:style>
  <w:style w:type="character" w:customStyle="1" w:styleId="Superscript">
    <w:name w:val="Superscript"/>
    <w:basedOn w:val="DefaultParagraphFont"/>
    <w:rsid w:val="00AB2BEE"/>
    <w:rPr>
      <w:sz w:val="16"/>
      <w:vertAlign w:val="superscript"/>
    </w:rPr>
  </w:style>
  <w:style w:type="character" w:customStyle="1" w:styleId="Symbols">
    <w:name w:val="Symbols"/>
    <w:basedOn w:val="DefaultParagraphFont"/>
    <w:rsid w:val="00AB2BEE"/>
    <w:rPr>
      <w:rFonts w:ascii="Symbol" w:hAnsi="Symbol"/>
    </w:rPr>
  </w:style>
  <w:style w:type="character" w:customStyle="1" w:styleId="MenuOptions">
    <w:name w:val="Menu Options"/>
    <w:basedOn w:val="DefaultParagraphFont"/>
    <w:rsid w:val="00AB2BEE"/>
    <w:rPr>
      <w:rFonts w:ascii="Arial Narrow" w:hAnsi="Arial Narrow"/>
      <w:smallCaps/>
    </w:rPr>
  </w:style>
  <w:style w:type="character" w:customStyle="1" w:styleId="Buttons">
    <w:name w:val="Buttons"/>
    <w:basedOn w:val="DefaultParagraphFont"/>
    <w:rsid w:val="00AB2BEE"/>
    <w:rPr>
      <w:b/>
    </w:rPr>
  </w:style>
  <w:style w:type="character" w:customStyle="1" w:styleId="Underlined">
    <w:name w:val="Underlined"/>
    <w:basedOn w:val="DefaultParagraphFont"/>
    <w:rsid w:val="00AB2BEE"/>
    <w:rPr>
      <w:u w:val="single"/>
    </w:rPr>
  </w:style>
  <w:style w:type="paragraph" w:customStyle="1" w:styleId="TableBodyTextRight">
    <w:name w:val="Table Body Text Right"/>
    <w:basedOn w:val="TableBodyText"/>
    <w:rsid w:val="00AB2BEE"/>
    <w:pPr>
      <w:widowControl w:val="0"/>
      <w:autoSpaceDE w:val="0"/>
      <w:autoSpaceDN w:val="0"/>
      <w:adjustRightInd w:val="0"/>
      <w:jc w:val="right"/>
    </w:pPr>
    <w:rPr>
      <w:rFonts w:cs="Arial"/>
      <w:szCs w:val="18"/>
    </w:rPr>
  </w:style>
  <w:style w:type="paragraph" w:customStyle="1" w:styleId="CopyrightText">
    <w:name w:val="Copyright Text"/>
    <w:basedOn w:val="BodyText"/>
    <w:rsid w:val="00AB2BEE"/>
    <w:rPr>
      <w:sz w:val="18"/>
    </w:rPr>
  </w:style>
  <w:style w:type="paragraph" w:customStyle="1" w:styleId="BodySmallRight">
    <w:name w:val="Body Small Right"/>
    <w:basedOn w:val="BodyTextRight"/>
    <w:rsid w:val="00AB2BEE"/>
    <w:rPr>
      <w:sz w:val="18"/>
      <w:szCs w:val="18"/>
    </w:rPr>
  </w:style>
  <w:style w:type="paragraph" w:customStyle="1" w:styleId="MarginEdition">
    <w:name w:val="Margin Edition"/>
    <w:basedOn w:val="MarginNote"/>
    <w:rsid w:val="00AB2BEE"/>
    <w:pPr>
      <w:spacing w:before="0" w:after="0"/>
    </w:pPr>
    <w:rPr>
      <w:rFonts w:ascii="Times New Roman" w:hAnsi="Times New Roman"/>
      <w:color w:val="999999"/>
    </w:rPr>
  </w:style>
  <w:style w:type="paragraph" w:customStyle="1" w:styleId="Spacer">
    <w:name w:val="Spacer"/>
    <w:basedOn w:val="Normal"/>
    <w:rsid w:val="00AB2BEE"/>
    <w:rPr>
      <w:sz w:val="2"/>
      <w:szCs w:val="2"/>
    </w:rPr>
  </w:style>
  <w:style w:type="character" w:customStyle="1" w:styleId="Small">
    <w:name w:val="Small"/>
    <w:basedOn w:val="DefaultParagraphFont"/>
    <w:rsid w:val="00AB2BEE"/>
    <w:rPr>
      <w:sz w:val="16"/>
    </w:rPr>
  </w:style>
  <w:style w:type="paragraph" w:customStyle="1" w:styleId="WideTable">
    <w:name w:val="Wide Table"/>
    <w:basedOn w:val="Normal"/>
    <w:rsid w:val="00AB2BEE"/>
    <w:pPr>
      <w:ind w:left="-1418"/>
    </w:pPr>
    <w:rPr>
      <w:sz w:val="2"/>
      <w:szCs w:val="2"/>
    </w:rPr>
  </w:style>
  <w:style w:type="character" w:styleId="PageNumber">
    <w:name w:val="page number"/>
    <w:basedOn w:val="DefaultParagraphFont"/>
    <w:rsid w:val="00AB2BEE"/>
  </w:style>
  <w:style w:type="paragraph" w:styleId="Quote">
    <w:name w:val="Quote"/>
    <w:basedOn w:val="Heading1"/>
    <w:link w:val="QuoteChar"/>
    <w:qFormat/>
    <w:rsid w:val="00AB2BEE"/>
    <w:rPr>
      <w:b w:val="0"/>
      <w:sz w:val="72"/>
      <w:szCs w:val="72"/>
      <w:lang w:val="en-NZ"/>
    </w:rPr>
  </w:style>
  <w:style w:type="character" w:customStyle="1" w:styleId="QuoteChar">
    <w:name w:val="Quote Char"/>
    <w:basedOn w:val="DefaultParagraphFont"/>
    <w:link w:val="Quote"/>
    <w:rsid w:val="00AB2B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BEE"/>
    <w:pPr>
      <w:pageBreakBefore/>
    </w:pPr>
  </w:style>
  <w:style w:type="paragraph" w:customStyle="1" w:styleId="Border">
    <w:name w:val="Border"/>
    <w:basedOn w:val="Normal"/>
    <w:qFormat/>
    <w:rsid w:val="00AB2B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BEE"/>
    <w:rPr>
      <w:b/>
      <w:bCs/>
      <w:i/>
      <w:iCs/>
      <w:color w:val="auto"/>
    </w:rPr>
  </w:style>
  <w:style w:type="paragraph" w:styleId="IntenseQuote">
    <w:name w:val="Intense Quote"/>
    <w:basedOn w:val="Normal"/>
    <w:next w:val="Normal"/>
    <w:link w:val="IntenseQuoteChar"/>
    <w:uiPriority w:val="30"/>
    <w:qFormat/>
    <w:rsid w:val="00AB2B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B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2BEE"/>
    <w:rPr>
      <w:smallCaps/>
      <w:color w:val="auto"/>
      <w:u w:val="single"/>
    </w:rPr>
  </w:style>
  <w:style w:type="character" w:styleId="IntenseReference">
    <w:name w:val="Intense Reference"/>
    <w:basedOn w:val="DefaultParagraphFont"/>
    <w:uiPriority w:val="32"/>
    <w:qFormat/>
    <w:rsid w:val="00AB2BEE"/>
    <w:rPr>
      <w:b/>
      <w:bCs/>
      <w:smallCaps/>
      <w:color w:val="auto"/>
      <w:spacing w:val="5"/>
      <w:u w:val="single"/>
    </w:rPr>
  </w:style>
  <w:style w:type="paragraph" w:customStyle="1" w:styleId="2ColumnHeading">
    <w:name w:val="2Column Heading"/>
    <w:basedOn w:val="BodyText"/>
    <w:qFormat/>
    <w:rsid w:val="00AB2BEE"/>
    <w:pPr>
      <w:spacing w:after="60"/>
      <w:ind w:left="-2268"/>
    </w:pPr>
    <w:rPr>
      <w:b/>
    </w:rPr>
  </w:style>
  <w:style w:type="paragraph" w:customStyle="1" w:styleId="Heading1TOC">
    <w:name w:val="Heading1 TOC"/>
    <w:basedOn w:val="Normal"/>
    <w:qFormat/>
    <w:rsid w:val="00AB2BEE"/>
    <w:pPr>
      <w:spacing w:before="240" w:after="120"/>
    </w:pPr>
    <w:rPr>
      <w:rFonts w:ascii="Times New Roman" w:hAnsi="Times New Roman"/>
      <w:b/>
      <w:sz w:val="32"/>
    </w:rPr>
  </w:style>
  <w:style w:type="paragraph" w:customStyle="1" w:styleId="Heading2TOC">
    <w:name w:val="Heading2 TOC"/>
    <w:basedOn w:val="Normal"/>
    <w:qFormat/>
    <w:rsid w:val="00AB2BEE"/>
    <w:pPr>
      <w:spacing w:before="240" w:after="60"/>
    </w:pPr>
    <w:rPr>
      <w:rFonts w:ascii="Times New Roman" w:hAnsi="Times New Roman"/>
      <w:b/>
      <w:sz w:val="28"/>
    </w:rPr>
  </w:style>
  <w:style w:type="character" w:customStyle="1" w:styleId="Underline">
    <w:name w:val="Underline"/>
    <w:basedOn w:val="DefaultParagraphFont"/>
    <w:qFormat/>
    <w:rsid w:val="00AB2BEE"/>
    <w:rPr>
      <w:u w:val="single"/>
    </w:rPr>
  </w:style>
  <w:style w:type="character" w:customStyle="1" w:styleId="BoldandItalics">
    <w:name w:val="Bold and Italics"/>
    <w:qFormat/>
    <w:rsid w:val="00AB2BEE"/>
    <w:rPr>
      <w:b/>
      <w:i/>
      <w:u w:val="none"/>
    </w:rPr>
  </w:style>
  <w:style w:type="paragraph" w:styleId="BalloonText">
    <w:name w:val="Balloon Text"/>
    <w:basedOn w:val="Normal"/>
    <w:link w:val="BalloonTextChar"/>
    <w:rsid w:val="00AB2BEE"/>
    <w:rPr>
      <w:rFonts w:ascii="Tahoma" w:hAnsi="Tahoma" w:cs="Tahoma"/>
      <w:sz w:val="16"/>
      <w:szCs w:val="16"/>
    </w:rPr>
  </w:style>
  <w:style w:type="character" w:customStyle="1" w:styleId="BalloonTextChar">
    <w:name w:val="Balloon Text Char"/>
    <w:basedOn w:val="DefaultParagraphFont"/>
    <w:link w:val="BalloonText"/>
    <w:rsid w:val="00AB2B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2B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2B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2BEE"/>
    <w:rPr>
      <w:b/>
      <w:color w:val="660033"/>
      <w:spacing w:val="0"/>
    </w:rPr>
  </w:style>
  <w:style w:type="paragraph" w:customStyle="1" w:styleId="Nameditemlist">
    <w:name w:val="Named item list"/>
    <w:basedOn w:val="BodyText"/>
    <w:qFormat/>
    <w:rsid w:val="00AB2B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4646</Characters>
  <Application>Microsoft Office Word</Application>
  <DocSecurity>0</DocSecurity>
  <Lines>239</Lines>
  <Paragraphs>116</Paragraphs>
  <ScaleCrop>false</ScaleCrop>
  <Company>Author-it Software Corporation Ltd.</Company>
  <LinksUpToDate>false</LinksUpToDate>
  <CharactersWithSpaces>5244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MSS015016 Implement and monitor reengineering for sustainability</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2016-06-22T08:55:00Z</dcterms:created>
  <dcterms:modified xsi:type="dcterms:W3CDTF">2016-06-22T08:55:00Z</dcterms:modified>
</cp:coreProperties>
</file>