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196D" w:rsidP="0026196D">
      <w:pPr>
        <w:pStyle w:val="Title"/>
      </w:pPr>
      <w:r>
        <w:fldChar w:fldCharType="begin"/>
      </w:r>
      <w:r>
        <w:instrText xml:space="preserve"> TITLE   \* MERGEFORMAT </w:instrText>
      </w:r>
      <w:r>
        <w:fldChar w:fldCharType="separate"/>
      </w:r>
      <w:r>
        <w:t>MSS015014 Develop response to sustainability related regulation</w:t>
      </w:r>
      <w:r>
        <w:fldChar w:fldCharType="end"/>
      </w:r>
    </w:p>
    <w:p w:rsidR="0026196D" w:rsidP="0026196D">
      <w:pPr>
        <w:pStyle w:val="Version"/>
        <w:sectPr w:rsidSect="00677B9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7B9F" w:rsidP="00677B9F">
      <w:pPr>
        <w:pStyle w:val="SuperHeading"/>
      </w:pPr>
      <w:r w:rsidRPr="00677B9F">
        <w:t>MSS015014 Develop response to sustainability related regulation</w:t>
      </w:r>
    </w:p>
    <w:p w:rsidR="00000000" w:rsidRPr="00677B9F" w:rsidP="00677B9F">
      <w:pPr>
        <w:pStyle w:val="Heading1"/>
      </w:pPr>
      <w:bookmarkStart w:id="1" w:name="O_923172"/>
      <w:bookmarkEnd w:id="1"/>
      <w:r w:rsidRPr="00677B9F">
        <w:t>Modification History</w:t>
      </w:r>
    </w:p>
    <w:p w:rsidR="00000000" w:rsidRPr="00677B9F" w:rsidP="00677B9F">
      <w:pPr>
        <w:pStyle w:val="BodyText"/>
      </w:pPr>
      <w:r w:rsidRPr="00677B9F">
        <w:t xml:space="preserve">Release 1. Supersedes and is equivalent to MSS015014A Develop response to sustainability related regulation. </w:t>
      </w:r>
    </w:p>
    <w:p w:rsidR="00000000" w:rsidRPr="00677B9F" w:rsidP="00677B9F">
      <w:pPr>
        <w:pStyle w:val="AllowPageBreak"/>
      </w:pPr>
    </w:p>
    <w:p w:rsidR="00000000" w:rsidRPr="00677B9F" w:rsidP="00677B9F">
      <w:pPr>
        <w:pStyle w:val="Heading1"/>
      </w:pPr>
      <w:bookmarkStart w:id="2" w:name="O_923180"/>
      <w:bookmarkEnd w:id="2"/>
      <w:r w:rsidRPr="00677B9F">
        <w:t>Application</w:t>
      </w:r>
    </w:p>
    <w:p w:rsidR="00000000" w:rsidRPr="00677B9F" w:rsidP="00677B9F">
      <w:pPr>
        <w:pStyle w:val="BodyText"/>
      </w:pPr>
      <w:r w:rsidRPr="00677B9F">
        <w:t xml:space="preserve">This </w:t>
      </w:r>
      <w:r w:rsidRPr="00677B9F">
        <w:t>unit of competency covers identifying responsibilities and developing an appropriate response to schemes regulating sustainability, including carbon and carbon equivalent use and emission. It includes the ongoing monitoring and adjusting of responses to th</w:t>
      </w:r>
      <w:r w:rsidRPr="00677B9F">
        <w:t>e regulatory environment and organisational situation.</w:t>
      </w:r>
    </w:p>
    <w:p w:rsidR="00000000" w:rsidRPr="00677B9F" w:rsidP="00677B9F">
      <w:pPr>
        <w:pStyle w:val="BodyText"/>
      </w:pPr>
    </w:p>
    <w:p w:rsidR="00000000" w:rsidRPr="00677B9F" w:rsidP="00677B9F">
      <w:pPr>
        <w:pStyle w:val="BodyText"/>
      </w:pPr>
      <w:r w:rsidRPr="00677B9F">
        <w:t>This unit applies in organisations that are/may be impacted by sustainability regulation. Some possible applications are carbon containment/reduction schemes/regulations or incentives or other schemes</w:t>
      </w:r>
      <w:r w:rsidRPr="00677B9F">
        <w:t xml:space="preserve"> that may be implemented. The application of the unit includes Australian and overseas schemes where the organisation is part of an export value chain or is a subsidiary required to report against a scheme covering an overseas parent. </w:t>
      </w:r>
    </w:p>
    <w:p w:rsidR="00000000" w:rsidRPr="00677B9F" w:rsidP="00677B9F">
      <w:pPr>
        <w:pStyle w:val="BodyText"/>
      </w:pPr>
    </w:p>
    <w:p w:rsidR="00000000" w:rsidRPr="00677B9F" w:rsidP="00677B9F">
      <w:pPr>
        <w:pStyle w:val="BodyText"/>
      </w:pPr>
      <w:r w:rsidRPr="00677B9F">
        <w:t>A manager or techni</w:t>
      </w:r>
      <w:r w:rsidRPr="00677B9F">
        <w:t>cal specialist who has a major responsibility for sustainability as part of a broader work role would typically undertake this, or sustainability may be their primary work responsibility. The manager or technical specialist may undertake this alone or as p</w:t>
      </w:r>
      <w:r w:rsidRPr="00677B9F">
        <w:t>art of a team.</w:t>
      </w:r>
    </w:p>
    <w:p w:rsidR="00000000" w:rsidRPr="00677B9F" w:rsidP="00677B9F">
      <w:pPr>
        <w:pStyle w:val="BodyText"/>
      </w:pPr>
    </w:p>
    <w:p w:rsidR="00000000" w:rsidRPr="00677B9F" w:rsidP="00677B9F">
      <w:pPr>
        <w:pStyle w:val="BodyText"/>
      </w:pPr>
      <w:r w:rsidRPr="00677B9F">
        <w:t>The technical measurement of operational performance or measurement of emissions or other environmental impact is not covered by this unit.</w:t>
      </w:r>
    </w:p>
    <w:p w:rsidR="00000000" w:rsidRPr="00677B9F" w:rsidP="00677B9F">
      <w:pPr>
        <w:pStyle w:val="BodyText"/>
      </w:pPr>
    </w:p>
    <w:p w:rsidR="00000000" w:rsidRPr="00677B9F" w:rsidP="00677B9F">
      <w:pPr>
        <w:pStyle w:val="BodyText"/>
      </w:pPr>
      <w:r w:rsidRPr="00677B9F">
        <w:t>No licensing, legislative or certification requirements apply to this unit at the time of publicati</w:t>
      </w:r>
      <w:r w:rsidRPr="00677B9F">
        <w:t>on.</w:t>
      </w:r>
    </w:p>
    <w:p w:rsidR="00000000" w:rsidRPr="00677B9F" w:rsidP="00677B9F">
      <w:pPr>
        <w:pStyle w:val="AllowPageBreak"/>
      </w:pPr>
    </w:p>
    <w:p w:rsidR="00000000" w:rsidRPr="00677B9F" w:rsidP="00677B9F">
      <w:pPr>
        <w:pStyle w:val="Heading1"/>
      </w:pPr>
      <w:bookmarkStart w:id="3" w:name="O_923179"/>
      <w:bookmarkEnd w:id="3"/>
      <w:r w:rsidRPr="00677B9F">
        <w:t>Pre-requisite Unit</w:t>
      </w:r>
    </w:p>
    <w:p w:rsidR="00000000" w:rsidRPr="00677B9F" w:rsidP="00677B9F">
      <w:pPr>
        <w:pStyle w:val="BodyText"/>
      </w:pPr>
      <w:r w:rsidRPr="00677B9F">
        <w:t>Nil</w:t>
      </w:r>
    </w:p>
    <w:p w:rsidR="00000000" w:rsidRPr="00677B9F" w:rsidP="00677B9F">
      <w:pPr>
        <w:pStyle w:val="AllowPageBreak"/>
      </w:pPr>
    </w:p>
    <w:p w:rsidR="00000000" w:rsidRPr="00677B9F" w:rsidP="00677B9F">
      <w:pPr>
        <w:pStyle w:val="Heading1"/>
      </w:pPr>
      <w:bookmarkStart w:id="4" w:name="O_923178"/>
      <w:bookmarkEnd w:id="4"/>
      <w:r w:rsidRPr="00677B9F">
        <w:t>Competency Field</w:t>
      </w:r>
    </w:p>
    <w:p w:rsidR="00000000" w:rsidRPr="00677B9F" w:rsidP="00677B9F">
      <w:pPr>
        <w:pStyle w:val="BodyText"/>
      </w:pPr>
      <w:r w:rsidRPr="00677B9F">
        <w:t>Sustainable operations</w:t>
      </w:r>
    </w:p>
    <w:p w:rsidR="00000000" w:rsidRPr="00677B9F" w:rsidP="00677B9F">
      <w:pPr>
        <w:pStyle w:val="AllowPageBreak"/>
      </w:pPr>
    </w:p>
    <w:p w:rsidR="00000000" w:rsidRPr="00677B9F" w:rsidP="00677B9F">
      <w:pPr>
        <w:pStyle w:val="Heading1"/>
      </w:pPr>
      <w:bookmarkStart w:id="5" w:name="O_923177"/>
      <w:bookmarkEnd w:id="5"/>
      <w:r w:rsidRPr="00677B9F">
        <w:t>Unit Sector</w:t>
      </w:r>
    </w:p>
    <w:p w:rsidR="00000000" w:rsidRPr="00677B9F" w:rsidP="00677B9F">
      <w:pPr>
        <w:pStyle w:val="BodyText"/>
      </w:pPr>
      <w:r w:rsidRPr="00677B9F">
        <w:t>Not applicable</w:t>
      </w:r>
    </w:p>
    <w:p w:rsidR="00000000" w:rsidRPr="00677B9F" w:rsidP="00677B9F">
      <w:pPr>
        <w:pStyle w:val="AllowPageBreak"/>
      </w:pPr>
    </w:p>
    <w:p w:rsidR="00000000" w:rsidRPr="00677B9F" w:rsidP="00677B9F">
      <w:pPr>
        <w:pStyle w:val="Heading1"/>
      </w:pPr>
      <w:bookmarkStart w:id="6" w:name="O_923176"/>
      <w:bookmarkEnd w:id="6"/>
      <w:r w:rsidRPr="00677B9F">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677B9F">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677B9F">
            <w:pPr>
              <w:pStyle w:val="BodyText"/>
              <w:rPr>
                <w:lang w:val="en-NZ"/>
              </w:rPr>
            </w:pPr>
            <w:r w:rsidRPr="00677B9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77B9F">
            <w:pPr>
              <w:pStyle w:val="BodyText"/>
              <w:rPr>
                <w:lang w:val="en-NZ"/>
              </w:rPr>
            </w:pPr>
            <w:r w:rsidRPr="00677B9F">
              <w:t>Performance crite</w:t>
            </w:r>
            <w:r w:rsidRPr="00677B9F">
              <w:t>ria describe the performance needed to demonstrate achievement of the element.</w:t>
            </w:r>
          </w:p>
        </w:tc>
      </w:tr>
      <w:tr w:rsidTr="00677B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77B9F" w:rsidP="00677B9F">
            <w:pPr>
              <w:pStyle w:val="BodyText"/>
            </w:pPr>
            <w:r w:rsidRPr="00677B9F">
              <w:t>1</w:t>
            </w:r>
          </w:p>
        </w:tc>
        <w:tc>
          <w:tcPr>
            <w:tcW w:w="1962" w:type="dxa"/>
            <w:vMerge w:val="restart"/>
            <w:tcBorders>
              <w:top w:val="nil"/>
              <w:left w:val="nil"/>
              <w:bottom w:val="nil"/>
              <w:right w:val="nil"/>
            </w:tcBorders>
            <w:tcMar>
              <w:top w:w="0" w:type="dxa"/>
              <w:left w:w="62" w:type="dxa"/>
              <w:bottom w:w="0" w:type="dxa"/>
              <w:right w:w="62" w:type="dxa"/>
            </w:tcMar>
          </w:tcPr>
          <w:p w:rsidR="00000000" w:rsidP="00677B9F">
            <w:pPr>
              <w:pStyle w:val="BodyText"/>
              <w:rPr>
                <w:lang w:val="en-NZ"/>
              </w:rPr>
            </w:pPr>
            <w:r w:rsidRPr="00677B9F">
              <w:rPr>
                <w:rStyle w:val="SpecialBold"/>
              </w:rPr>
              <w:t>Interpret regulation</w:t>
            </w:r>
          </w:p>
        </w:tc>
        <w:tc>
          <w:tcPr>
            <w:tcW w:w="770" w:type="dxa"/>
            <w:tcBorders>
              <w:top w:val="nil"/>
              <w:left w:val="nil"/>
              <w:bottom w:val="nil"/>
              <w:right w:val="nil"/>
            </w:tcBorders>
            <w:tcMar>
              <w:top w:w="0" w:type="dxa"/>
              <w:left w:w="62" w:type="dxa"/>
              <w:bottom w:w="0" w:type="dxa"/>
              <w:right w:w="62" w:type="dxa"/>
            </w:tcMar>
          </w:tcPr>
          <w:p w:rsidR="00000000" w:rsidP="00677B9F">
            <w:pPr>
              <w:pStyle w:val="BodyText"/>
              <w:rPr>
                <w:lang w:val="en-NZ"/>
              </w:rPr>
            </w:pPr>
            <w:r w:rsidRPr="00677B9F">
              <w:t>1.1</w:t>
            </w:r>
          </w:p>
        </w:tc>
        <w:tc>
          <w:tcPr>
            <w:tcW w:w="5610" w:type="dxa"/>
            <w:tcBorders>
              <w:top w:val="nil"/>
              <w:left w:val="nil"/>
              <w:bottom w:val="nil"/>
              <w:right w:val="nil"/>
            </w:tcBorders>
            <w:tcMar>
              <w:top w:w="0" w:type="dxa"/>
              <w:left w:w="62" w:type="dxa"/>
              <w:bottom w:w="0" w:type="dxa"/>
              <w:right w:w="62" w:type="dxa"/>
            </w:tcMar>
          </w:tcPr>
          <w:p w:rsidR="00000000" w:rsidP="00677B9F">
            <w:pPr>
              <w:pStyle w:val="BodyText"/>
              <w:rPr>
                <w:lang w:val="en-NZ"/>
              </w:rPr>
            </w:pPr>
            <w:r w:rsidRPr="00677B9F">
              <w:t>Determine emissions/sustainability issues as defined by the relevant regulation.</w:t>
            </w:r>
          </w:p>
        </w:tc>
      </w:tr>
      <w:tr w:rsidTr="00677B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677B9F">
            <w:pPr>
              <w:pStyle w:val="BodyText"/>
              <w:rPr>
                <w:lang w:val="en-NZ"/>
              </w:rPr>
            </w:pPr>
            <w:r w:rsidRPr="00677B9F">
              <w:t>1.2</w:t>
            </w:r>
          </w:p>
        </w:tc>
        <w:tc>
          <w:tcPr>
            <w:tcW w:w="5610" w:type="dxa"/>
            <w:tcBorders>
              <w:top w:val="nil"/>
              <w:left w:val="nil"/>
              <w:bottom w:val="nil"/>
              <w:right w:val="nil"/>
            </w:tcBorders>
            <w:tcMar>
              <w:top w:w="0" w:type="dxa"/>
              <w:left w:w="62" w:type="dxa"/>
              <w:bottom w:w="0" w:type="dxa"/>
              <w:right w:w="62" w:type="dxa"/>
            </w:tcMar>
          </w:tcPr>
          <w:p w:rsidR="00000000" w:rsidP="00677B9F">
            <w:pPr>
              <w:pStyle w:val="BodyText"/>
              <w:rPr>
                <w:lang w:val="en-NZ"/>
              </w:rPr>
            </w:pPr>
            <w:r w:rsidRPr="00677B9F">
              <w:t>Compare organisation’</w:t>
            </w:r>
            <w:r w:rsidRPr="00677B9F">
              <w:t>s profile with regulatory definitions/descriptions.</w:t>
            </w:r>
          </w:p>
        </w:tc>
      </w:tr>
      <w:tr w:rsidTr="00677B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677B9F">
            <w:pPr>
              <w:pStyle w:val="BodyText"/>
              <w:rPr>
                <w:lang w:val="en-NZ"/>
              </w:rPr>
            </w:pPr>
            <w:r w:rsidRPr="00677B9F">
              <w:t>1.3</w:t>
            </w:r>
          </w:p>
        </w:tc>
        <w:tc>
          <w:tcPr>
            <w:tcW w:w="5610" w:type="dxa"/>
            <w:tcBorders>
              <w:top w:val="nil"/>
              <w:left w:val="nil"/>
              <w:bottom w:val="nil"/>
              <w:right w:val="nil"/>
            </w:tcBorders>
            <w:tcMar>
              <w:top w:w="0" w:type="dxa"/>
              <w:left w:w="62" w:type="dxa"/>
              <w:bottom w:w="0" w:type="dxa"/>
              <w:right w:w="62" w:type="dxa"/>
            </w:tcMar>
          </w:tcPr>
          <w:p w:rsidR="00000000" w:rsidP="00677B9F">
            <w:pPr>
              <w:pStyle w:val="BodyText"/>
              <w:rPr>
                <w:lang w:val="en-NZ"/>
              </w:rPr>
            </w:pPr>
            <w:r w:rsidRPr="00677B9F">
              <w:t>Determine impact on the organisation in its current state.</w:t>
            </w:r>
          </w:p>
        </w:tc>
      </w:tr>
      <w:tr w:rsidTr="00677B9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77B9F">
            <w:pPr>
              <w:pStyle w:val="BodyText"/>
              <w:rPr>
                <w:lang w:val="en-NZ"/>
              </w:rPr>
            </w:pPr>
          </w:p>
        </w:tc>
      </w:tr>
      <w:tr w:rsidTr="00677B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77B9F" w:rsidP="00677B9F">
            <w:pPr>
              <w:pStyle w:val="BodyText"/>
            </w:pPr>
            <w:r w:rsidRPr="00677B9F">
              <w:t>2</w:t>
            </w:r>
          </w:p>
        </w:tc>
        <w:tc>
          <w:tcPr>
            <w:tcW w:w="1962" w:type="dxa"/>
            <w:vMerge w:val="restart"/>
            <w:tcBorders>
              <w:top w:val="nil"/>
              <w:left w:val="nil"/>
              <w:bottom w:val="nil"/>
              <w:right w:val="nil"/>
            </w:tcBorders>
            <w:tcMar>
              <w:top w:w="0" w:type="dxa"/>
              <w:left w:w="62" w:type="dxa"/>
              <w:bottom w:w="0" w:type="dxa"/>
              <w:right w:w="62" w:type="dxa"/>
            </w:tcMar>
          </w:tcPr>
          <w:p w:rsidR="00000000" w:rsidP="00677B9F">
            <w:pPr>
              <w:pStyle w:val="BodyText"/>
              <w:rPr>
                <w:lang w:val="en-NZ"/>
              </w:rPr>
            </w:pPr>
            <w:r w:rsidRPr="00677B9F">
              <w:rPr>
                <w:rStyle w:val="SpecialBold"/>
              </w:rPr>
              <w:t>Develop possible organisation responses to impact</w:t>
            </w:r>
          </w:p>
        </w:tc>
        <w:tc>
          <w:tcPr>
            <w:tcW w:w="770" w:type="dxa"/>
            <w:tcBorders>
              <w:top w:val="nil"/>
              <w:left w:val="nil"/>
              <w:bottom w:val="nil"/>
              <w:right w:val="nil"/>
            </w:tcBorders>
            <w:tcMar>
              <w:top w:w="0" w:type="dxa"/>
              <w:left w:w="62" w:type="dxa"/>
              <w:bottom w:w="0" w:type="dxa"/>
              <w:right w:w="62" w:type="dxa"/>
            </w:tcMar>
          </w:tcPr>
          <w:p w:rsidR="00000000" w:rsidP="00677B9F">
            <w:pPr>
              <w:pStyle w:val="BodyText"/>
              <w:rPr>
                <w:lang w:val="en-NZ"/>
              </w:rPr>
            </w:pPr>
            <w:r w:rsidRPr="00677B9F">
              <w:t>2.1</w:t>
            </w:r>
          </w:p>
        </w:tc>
        <w:tc>
          <w:tcPr>
            <w:tcW w:w="5610" w:type="dxa"/>
            <w:tcBorders>
              <w:top w:val="nil"/>
              <w:left w:val="nil"/>
              <w:bottom w:val="nil"/>
              <w:right w:val="nil"/>
            </w:tcBorders>
            <w:tcMar>
              <w:top w:w="0" w:type="dxa"/>
              <w:left w:w="62" w:type="dxa"/>
              <w:bottom w:w="0" w:type="dxa"/>
              <w:right w:w="62" w:type="dxa"/>
            </w:tcMar>
          </w:tcPr>
          <w:p w:rsidR="00000000" w:rsidP="00677B9F">
            <w:pPr>
              <w:pStyle w:val="BodyText"/>
              <w:rPr>
                <w:lang w:val="en-NZ"/>
              </w:rPr>
            </w:pPr>
            <w:r w:rsidRPr="00677B9F">
              <w:t>Determine ‘no change’ cost of compliance.</w:t>
            </w:r>
          </w:p>
        </w:tc>
      </w:tr>
      <w:tr w:rsidTr="00677B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677B9F">
            <w:pPr>
              <w:pStyle w:val="BodyText"/>
              <w:rPr>
                <w:lang w:val="en-NZ"/>
              </w:rPr>
            </w:pPr>
            <w:r w:rsidRPr="00677B9F">
              <w:t>2.2</w:t>
            </w:r>
          </w:p>
        </w:tc>
        <w:tc>
          <w:tcPr>
            <w:tcW w:w="5610" w:type="dxa"/>
            <w:tcBorders>
              <w:top w:val="nil"/>
              <w:left w:val="nil"/>
              <w:bottom w:val="nil"/>
              <w:right w:val="nil"/>
            </w:tcBorders>
            <w:tcMar>
              <w:top w:w="0" w:type="dxa"/>
              <w:left w:w="62" w:type="dxa"/>
              <w:bottom w:w="0" w:type="dxa"/>
              <w:right w:w="62" w:type="dxa"/>
            </w:tcMar>
          </w:tcPr>
          <w:p w:rsidR="00000000" w:rsidP="00677B9F">
            <w:pPr>
              <w:pStyle w:val="BodyText"/>
              <w:rPr>
                <w:lang w:val="en-NZ"/>
              </w:rPr>
            </w:pPr>
            <w:r w:rsidRPr="00677B9F">
              <w:t>Facilitate the suggestion of alternative responses.</w:t>
            </w:r>
          </w:p>
        </w:tc>
      </w:tr>
      <w:tr w:rsidTr="00677B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677B9F">
            <w:pPr>
              <w:pStyle w:val="BodyText"/>
              <w:rPr>
                <w:lang w:val="en-NZ"/>
              </w:rPr>
            </w:pPr>
            <w:r w:rsidRPr="00677B9F">
              <w:t>2.3</w:t>
            </w:r>
          </w:p>
        </w:tc>
        <w:tc>
          <w:tcPr>
            <w:tcW w:w="5610" w:type="dxa"/>
            <w:tcBorders>
              <w:top w:val="nil"/>
              <w:left w:val="nil"/>
              <w:bottom w:val="nil"/>
              <w:right w:val="nil"/>
            </w:tcBorders>
            <w:tcMar>
              <w:top w:w="0" w:type="dxa"/>
              <w:left w:w="62" w:type="dxa"/>
              <w:bottom w:w="0" w:type="dxa"/>
              <w:right w:w="62" w:type="dxa"/>
            </w:tcMar>
          </w:tcPr>
          <w:p w:rsidR="00000000" w:rsidP="00677B9F">
            <w:pPr>
              <w:pStyle w:val="BodyText"/>
              <w:rPr>
                <w:lang w:val="en-NZ"/>
              </w:rPr>
            </w:pPr>
            <w:r w:rsidRPr="00677B9F">
              <w:t>Determine benefit/cost for feasible alternative responses.</w:t>
            </w:r>
          </w:p>
        </w:tc>
      </w:tr>
      <w:tr w:rsidTr="00677B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677B9F">
            <w:pPr>
              <w:pStyle w:val="BodyText"/>
              <w:rPr>
                <w:lang w:val="en-NZ"/>
              </w:rPr>
            </w:pPr>
            <w:r w:rsidRPr="00677B9F">
              <w:t>2.4</w:t>
            </w:r>
          </w:p>
        </w:tc>
        <w:tc>
          <w:tcPr>
            <w:tcW w:w="5610" w:type="dxa"/>
            <w:tcBorders>
              <w:top w:val="nil"/>
              <w:left w:val="nil"/>
              <w:bottom w:val="nil"/>
              <w:right w:val="nil"/>
            </w:tcBorders>
            <w:tcMar>
              <w:top w:w="0" w:type="dxa"/>
              <w:left w:w="62" w:type="dxa"/>
              <w:bottom w:w="0" w:type="dxa"/>
              <w:right w:w="62" w:type="dxa"/>
            </w:tcMar>
          </w:tcPr>
          <w:p w:rsidR="00000000" w:rsidP="00677B9F">
            <w:pPr>
              <w:pStyle w:val="BodyText"/>
              <w:rPr>
                <w:lang w:val="en-NZ"/>
              </w:rPr>
            </w:pPr>
            <w:r w:rsidRPr="00677B9F">
              <w:t>Compare alternative response to current state impact.</w:t>
            </w:r>
          </w:p>
        </w:tc>
      </w:tr>
      <w:tr w:rsidTr="00677B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677B9F">
            <w:pPr>
              <w:pStyle w:val="BodyText"/>
              <w:rPr>
                <w:lang w:val="en-NZ"/>
              </w:rPr>
            </w:pPr>
            <w:r w:rsidRPr="00677B9F">
              <w:t>2.5</w:t>
            </w:r>
          </w:p>
        </w:tc>
        <w:tc>
          <w:tcPr>
            <w:tcW w:w="5610" w:type="dxa"/>
            <w:tcBorders>
              <w:top w:val="nil"/>
              <w:left w:val="nil"/>
              <w:bottom w:val="nil"/>
              <w:right w:val="nil"/>
            </w:tcBorders>
            <w:tcMar>
              <w:top w:w="0" w:type="dxa"/>
              <w:left w:w="62" w:type="dxa"/>
              <w:bottom w:w="0" w:type="dxa"/>
              <w:right w:w="62" w:type="dxa"/>
            </w:tcMar>
          </w:tcPr>
          <w:p w:rsidR="00000000" w:rsidP="00677B9F">
            <w:pPr>
              <w:pStyle w:val="BodyText"/>
              <w:rPr>
                <w:lang w:val="en-NZ"/>
              </w:rPr>
            </w:pPr>
            <w:r w:rsidRPr="00677B9F">
              <w:t>Rank responses by desirability.</w:t>
            </w:r>
          </w:p>
        </w:tc>
      </w:tr>
      <w:tr w:rsidTr="00677B9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77B9F">
            <w:pPr>
              <w:pStyle w:val="BodyText"/>
              <w:rPr>
                <w:lang w:val="en-NZ"/>
              </w:rPr>
            </w:pPr>
          </w:p>
        </w:tc>
      </w:tr>
      <w:tr w:rsidTr="00677B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77B9F" w:rsidP="00677B9F">
            <w:pPr>
              <w:pStyle w:val="BodyText"/>
            </w:pPr>
            <w:r w:rsidRPr="00677B9F">
              <w:t>3</w:t>
            </w:r>
          </w:p>
        </w:tc>
        <w:tc>
          <w:tcPr>
            <w:tcW w:w="1962" w:type="dxa"/>
            <w:vMerge w:val="restart"/>
            <w:tcBorders>
              <w:top w:val="nil"/>
              <w:left w:val="nil"/>
              <w:bottom w:val="nil"/>
              <w:right w:val="nil"/>
            </w:tcBorders>
            <w:tcMar>
              <w:top w:w="0" w:type="dxa"/>
              <w:left w:w="62" w:type="dxa"/>
              <w:bottom w:w="0" w:type="dxa"/>
              <w:right w:w="62" w:type="dxa"/>
            </w:tcMar>
          </w:tcPr>
          <w:p w:rsidR="00000000" w:rsidP="00677B9F">
            <w:pPr>
              <w:pStyle w:val="BodyText"/>
              <w:rPr>
                <w:lang w:val="en-NZ"/>
              </w:rPr>
            </w:pPr>
            <w:r w:rsidRPr="00677B9F">
              <w:rPr>
                <w:rStyle w:val="SpecialBold"/>
              </w:rPr>
              <w:t>Select appropriate responses</w:t>
            </w:r>
          </w:p>
        </w:tc>
        <w:tc>
          <w:tcPr>
            <w:tcW w:w="770" w:type="dxa"/>
            <w:tcBorders>
              <w:top w:val="nil"/>
              <w:left w:val="nil"/>
              <w:bottom w:val="nil"/>
              <w:right w:val="nil"/>
            </w:tcBorders>
            <w:tcMar>
              <w:top w:w="0" w:type="dxa"/>
              <w:left w:w="62" w:type="dxa"/>
              <w:bottom w:w="0" w:type="dxa"/>
              <w:right w:w="62" w:type="dxa"/>
            </w:tcMar>
          </w:tcPr>
          <w:p w:rsidR="00000000" w:rsidP="00677B9F">
            <w:pPr>
              <w:pStyle w:val="BodyText"/>
              <w:rPr>
                <w:lang w:val="en-NZ"/>
              </w:rPr>
            </w:pPr>
            <w:r w:rsidRPr="00677B9F">
              <w:t>3.1</w:t>
            </w:r>
          </w:p>
        </w:tc>
        <w:tc>
          <w:tcPr>
            <w:tcW w:w="5610" w:type="dxa"/>
            <w:tcBorders>
              <w:top w:val="nil"/>
              <w:left w:val="nil"/>
              <w:bottom w:val="nil"/>
              <w:right w:val="nil"/>
            </w:tcBorders>
            <w:tcMar>
              <w:top w:w="0" w:type="dxa"/>
              <w:left w:w="62" w:type="dxa"/>
              <w:bottom w:w="0" w:type="dxa"/>
              <w:right w:w="62" w:type="dxa"/>
            </w:tcMar>
          </w:tcPr>
          <w:p w:rsidR="00000000" w:rsidP="00677B9F">
            <w:pPr>
              <w:pStyle w:val="BodyText"/>
              <w:rPr>
                <w:lang w:val="en-NZ"/>
              </w:rPr>
            </w:pPr>
            <w:r w:rsidRPr="00677B9F">
              <w:t>Short-list ranked responses.</w:t>
            </w:r>
          </w:p>
        </w:tc>
      </w:tr>
      <w:tr w:rsidTr="00677B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677B9F">
            <w:pPr>
              <w:pStyle w:val="BodyText"/>
              <w:rPr>
                <w:lang w:val="en-NZ"/>
              </w:rPr>
            </w:pPr>
            <w:r w:rsidRPr="00677B9F">
              <w:t>3.2</w:t>
            </w:r>
          </w:p>
        </w:tc>
        <w:tc>
          <w:tcPr>
            <w:tcW w:w="5610" w:type="dxa"/>
            <w:tcBorders>
              <w:top w:val="nil"/>
              <w:left w:val="nil"/>
              <w:bottom w:val="nil"/>
              <w:right w:val="nil"/>
            </w:tcBorders>
            <w:tcMar>
              <w:top w:w="0" w:type="dxa"/>
              <w:left w:w="62" w:type="dxa"/>
              <w:bottom w:w="0" w:type="dxa"/>
              <w:right w:w="62" w:type="dxa"/>
            </w:tcMar>
          </w:tcPr>
          <w:p w:rsidR="00000000" w:rsidP="00677B9F">
            <w:pPr>
              <w:pStyle w:val="BodyText"/>
              <w:rPr>
                <w:lang w:val="en-NZ"/>
              </w:rPr>
            </w:pPr>
            <w:r w:rsidRPr="00677B9F">
              <w:t>Discuss short-listed responses with key stakeholders.</w:t>
            </w:r>
          </w:p>
        </w:tc>
      </w:tr>
      <w:tr w:rsidTr="00677B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677B9F">
            <w:pPr>
              <w:pStyle w:val="BodyText"/>
              <w:rPr>
                <w:lang w:val="en-NZ"/>
              </w:rPr>
            </w:pPr>
            <w:r w:rsidRPr="00677B9F">
              <w:t>3.3</w:t>
            </w:r>
          </w:p>
        </w:tc>
        <w:tc>
          <w:tcPr>
            <w:tcW w:w="5610" w:type="dxa"/>
            <w:tcBorders>
              <w:top w:val="nil"/>
              <w:left w:val="nil"/>
              <w:bottom w:val="nil"/>
              <w:right w:val="nil"/>
            </w:tcBorders>
            <w:tcMar>
              <w:top w:w="0" w:type="dxa"/>
              <w:left w:w="62" w:type="dxa"/>
              <w:bottom w:w="0" w:type="dxa"/>
              <w:right w:w="62" w:type="dxa"/>
            </w:tcMar>
          </w:tcPr>
          <w:p w:rsidR="00000000" w:rsidP="00677B9F">
            <w:pPr>
              <w:pStyle w:val="BodyText"/>
              <w:rPr>
                <w:lang w:val="en-NZ"/>
              </w:rPr>
            </w:pPr>
            <w:r w:rsidRPr="00677B9F">
              <w:t>Determine responses to be implemented and timelines for implementation.</w:t>
            </w:r>
          </w:p>
        </w:tc>
      </w:tr>
      <w:tr w:rsidTr="00677B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677B9F">
            <w:pPr>
              <w:pStyle w:val="BodyText"/>
              <w:rPr>
                <w:lang w:val="en-NZ"/>
              </w:rPr>
            </w:pPr>
            <w:r w:rsidRPr="00677B9F">
              <w:t>3.4</w:t>
            </w:r>
          </w:p>
        </w:tc>
        <w:tc>
          <w:tcPr>
            <w:tcW w:w="5610" w:type="dxa"/>
            <w:tcBorders>
              <w:top w:val="nil"/>
              <w:left w:val="nil"/>
              <w:bottom w:val="nil"/>
              <w:right w:val="nil"/>
            </w:tcBorders>
            <w:tcMar>
              <w:top w:w="0" w:type="dxa"/>
              <w:left w:w="62" w:type="dxa"/>
              <w:bottom w:w="0" w:type="dxa"/>
              <w:right w:w="62" w:type="dxa"/>
            </w:tcMar>
          </w:tcPr>
          <w:p w:rsidR="00000000" w:rsidP="00677B9F">
            <w:pPr>
              <w:pStyle w:val="BodyText"/>
              <w:rPr>
                <w:lang w:val="en-NZ"/>
              </w:rPr>
            </w:pPr>
            <w:r w:rsidRPr="00677B9F">
              <w:t>Develop an overall strategic plan to implement agreed responses.</w:t>
            </w:r>
          </w:p>
        </w:tc>
      </w:tr>
      <w:tr w:rsidTr="00677B9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77B9F">
            <w:pPr>
              <w:pStyle w:val="BodyText"/>
              <w:rPr>
                <w:lang w:val="en-NZ"/>
              </w:rPr>
            </w:pPr>
          </w:p>
        </w:tc>
      </w:tr>
      <w:tr w:rsidTr="00677B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77B9F" w:rsidP="00677B9F">
            <w:pPr>
              <w:pStyle w:val="BodyText"/>
            </w:pPr>
            <w:r w:rsidRPr="00677B9F">
              <w:t>4</w:t>
            </w:r>
          </w:p>
        </w:tc>
        <w:tc>
          <w:tcPr>
            <w:tcW w:w="1962" w:type="dxa"/>
            <w:vMerge w:val="restart"/>
            <w:tcBorders>
              <w:top w:val="nil"/>
              <w:left w:val="nil"/>
              <w:bottom w:val="nil"/>
              <w:right w:val="nil"/>
            </w:tcBorders>
            <w:tcMar>
              <w:top w:w="0" w:type="dxa"/>
              <w:left w:w="62" w:type="dxa"/>
              <w:bottom w:w="0" w:type="dxa"/>
              <w:right w:w="62" w:type="dxa"/>
            </w:tcMar>
          </w:tcPr>
          <w:p w:rsidR="00000000" w:rsidP="00677B9F">
            <w:pPr>
              <w:pStyle w:val="BodyText"/>
              <w:rPr>
                <w:lang w:val="en-NZ"/>
              </w:rPr>
            </w:pPr>
            <w:r w:rsidRPr="00677B9F">
              <w:rPr>
                <w:rStyle w:val="SpecialBold"/>
              </w:rPr>
              <w:t>Implement agreed responses</w:t>
            </w:r>
          </w:p>
        </w:tc>
        <w:tc>
          <w:tcPr>
            <w:tcW w:w="770" w:type="dxa"/>
            <w:tcBorders>
              <w:top w:val="nil"/>
              <w:left w:val="nil"/>
              <w:bottom w:val="nil"/>
              <w:right w:val="nil"/>
            </w:tcBorders>
            <w:tcMar>
              <w:top w:w="0" w:type="dxa"/>
              <w:left w:w="62" w:type="dxa"/>
              <w:bottom w:w="0" w:type="dxa"/>
              <w:right w:w="62" w:type="dxa"/>
            </w:tcMar>
          </w:tcPr>
          <w:p w:rsidR="00000000" w:rsidP="00677B9F">
            <w:pPr>
              <w:pStyle w:val="BodyText"/>
              <w:rPr>
                <w:lang w:val="en-NZ"/>
              </w:rPr>
            </w:pPr>
            <w:r w:rsidRPr="00677B9F">
              <w:t>4.1</w:t>
            </w:r>
          </w:p>
        </w:tc>
        <w:tc>
          <w:tcPr>
            <w:tcW w:w="5610" w:type="dxa"/>
            <w:tcBorders>
              <w:top w:val="nil"/>
              <w:left w:val="nil"/>
              <w:bottom w:val="nil"/>
              <w:right w:val="nil"/>
            </w:tcBorders>
            <w:tcMar>
              <w:top w:w="0" w:type="dxa"/>
              <w:left w:w="62" w:type="dxa"/>
              <w:bottom w:w="0" w:type="dxa"/>
              <w:right w:w="62" w:type="dxa"/>
            </w:tcMar>
          </w:tcPr>
          <w:p w:rsidR="00000000" w:rsidP="00677B9F">
            <w:pPr>
              <w:pStyle w:val="BodyText"/>
              <w:rPr>
                <w:lang w:val="en-NZ"/>
              </w:rPr>
            </w:pPr>
            <w:r w:rsidRPr="00677B9F">
              <w:t>Develop implementation plan for agreed responses.</w:t>
            </w:r>
          </w:p>
        </w:tc>
      </w:tr>
      <w:tr w:rsidTr="00677B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677B9F">
            <w:pPr>
              <w:pStyle w:val="BodyText"/>
              <w:rPr>
                <w:lang w:val="en-NZ"/>
              </w:rPr>
            </w:pPr>
            <w:r w:rsidRPr="00677B9F">
              <w:t>4.2</w:t>
            </w:r>
          </w:p>
        </w:tc>
        <w:tc>
          <w:tcPr>
            <w:tcW w:w="5610" w:type="dxa"/>
            <w:tcBorders>
              <w:top w:val="nil"/>
              <w:left w:val="nil"/>
              <w:bottom w:val="nil"/>
              <w:right w:val="nil"/>
            </w:tcBorders>
            <w:tcMar>
              <w:top w:w="0" w:type="dxa"/>
              <w:left w:w="62" w:type="dxa"/>
              <w:bottom w:w="0" w:type="dxa"/>
              <w:right w:w="62" w:type="dxa"/>
            </w:tcMar>
          </w:tcPr>
          <w:p w:rsidR="00000000" w:rsidP="00677B9F">
            <w:pPr>
              <w:pStyle w:val="BodyText"/>
              <w:rPr>
                <w:lang w:val="en-NZ"/>
              </w:rPr>
            </w:pPr>
            <w:r w:rsidRPr="00677B9F">
              <w:t>Negotiate required resources with relevant stakeholders.</w:t>
            </w:r>
          </w:p>
        </w:tc>
      </w:tr>
      <w:tr w:rsidTr="00677B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677B9F">
            <w:pPr>
              <w:pStyle w:val="BodyText"/>
              <w:rPr>
                <w:lang w:val="en-NZ"/>
              </w:rPr>
            </w:pPr>
            <w:r w:rsidRPr="00677B9F">
              <w:t>4.3</w:t>
            </w:r>
          </w:p>
        </w:tc>
        <w:tc>
          <w:tcPr>
            <w:tcW w:w="5610" w:type="dxa"/>
            <w:tcBorders>
              <w:top w:val="nil"/>
              <w:left w:val="nil"/>
              <w:bottom w:val="nil"/>
              <w:right w:val="nil"/>
            </w:tcBorders>
            <w:tcMar>
              <w:top w:w="0" w:type="dxa"/>
              <w:left w:w="62" w:type="dxa"/>
              <w:bottom w:w="0" w:type="dxa"/>
              <w:right w:w="62" w:type="dxa"/>
            </w:tcMar>
          </w:tcPr>
          <w:p w:rsidR="00000000" w:rsidP="00677B9F">
            <w:pPr>
              <w:pStyle w:val="BodyText"/>
              <w:rPr>
                <w:lang w:val="en-NZ"/>
              </w:rPr>
            </w:pPr>
            <w:r w:rsidRPr="00677B9F">
              <w:t>Negotiate timelines and measures/indicators of success with change stakeholders.</w:t>
            </w:r>
          </w:p>
        </w:tc>
      </w:tr>
      <w:tr w:rsidTr="00677B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677B9F">
            <w:pPr>
              <w:pStyle w:val="BodyText"/>
              <w:rPr>
                <w:lang w:val="en-NZ"/>
              </w:rPr>
            </w:pPr>
            <w:r w:rsidRPr="00677B9F">
              <w:t>4.4</w:t>
            </w:r>
          </w:p>
        </w:tc>
        <w:tc>
          <w:tcPr>
            <w:tcW w:w="5610" w:type="dxa"/>
            <w:tcBorders>
              <w:top w:val="nil"/>
              <w:left w:val="nil"/>
              <w:bottom w:val="nil"/>
              <w:right w:val="nil"/>
            </w:tcBorders>
            <w:tcMar>
              <w:top w:w="0" w:type="dxa"/>
              <w:left w:w="62" w:type="dxa"/>
              <w:bottom w:w="0" w:type="dxa"/>
              <w:right w:w="62" w:type="dxa"/>
            </w:tcMar>
          </w:tcPr>
          <w:p w:rsidR="00000000" w:rsidP="00677B9F">
            <w:pPr>
              <w:pStyle w:val="BodyText"/>
              <w:rPr>
                <w:lang w:val="en-NZ"/>
              </w:rPr>
            </w:pPr>
            <w:r w:rsidRPr="00677B9F">
              <w:t>Acquire and deploy resources required to achieve agreed responses.</w:t>
            </w:r>
          </w:p>
        </w:tc>
      </w:tr>
      <w:tr w:rsidTr="00677B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677B9F">
            <w:pPr>
              <w:pStyle w:val="BodyText"/>
              <w:rPr>
                <w:lang w:val="en-NZ"/>
              </w:rPr>
            </w:pPr>
            <w:r w:rsidRPr="00677B9F">
              <w:t>4.5</w:t>
            </w:r>
          </w:p>
        </w:tc>
        <w:tc>
          <w:tcPr>
            <w:tcW w:w="5610" w:type="dxa"/>
            <w:tcBorders>
              <w:top w:val="nil"/>
              <w:left w:val="nil"/>
              <w:bottom w:val="nil"/>
              <w:right w:val="nil"/>
            </w:tcBorders>
            <w:tcMar>
              <w:top w:w="0" w:type="dxa"/>
              <w:left w:w="62" w:type="dxa"/>
              <w:bottom w:w="0" w:type="dxa"/>
              <w:right w:w="62" w:type="dxa"/>
            </w:tcMar>
          </w:tcPr>
          <w:p w:rsidR="00000000" w:rsidP="00677B9F">
            <w:pPr>
              <w:pStyle w:val="BodyText"/>
              <w:rPr>
                <w:lang w:val="en-NZ"/>
              </w:rPr>
            </w:pPr>
            <w:r w:rsidRPr="00677B9F">
              <w:t>Monitor implementation and take action as required to achieve required responses.</w:t>
            </w:r>
          </w:p>
        </w:tc>
      </w:tr>
      <w:tr w:rsidTr="00677B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677B9F">
            <w:pPr>
              <w:pStyle w:val="BodyText"/>
              <w:rPr>
                <w:lang w:val="en-NZ"/>
              </w:rPr>
            </w:pPr>
            <w:r w:rsidRPr="00677B9F">
              <w:t>4.6</w:t>
            </w:r>
          </w:p>
        </w:tc>
        <w:tc>
          <w:tcPr>
            <w:tcW w:w="5610" w:type="dxa"/>
            <w:tcBorders>
              <w:top w:val="nil"/>
              <w:left w:val="nil"/>
              <w:bottom w:val="nil"/>
              <w:right w:val="nil"/>
            </w:tcBorders>
            <w:tcMar>
              <w:top w:w="0" w:type="dxa"/>
              <w:left w:w="62" w:type="dxa"/>
              <w:bottom w:w="0" w:type="dxa"/>
              <w:right w:w="62" w:type="dxa"/>
            </w:tcMar>
          </w:tcPr>
          <w:p w:rsidR="00000000" w:rsidP="00677B9F">
            <w:pPr>
              <w:pStyle w:val="BodyText"/>
              <w:rPr>
                <w:lang w:val="en-NZ"/>
              </w:rPr>
            </w:pPr>
            <w:r w:rsidRPr="00677B9F">
              <w:t>Renegotiate with relevant stakeholders as necessary.</w:t>
            </w:r>
          </w:p>
        </w:tc>
      </w:tr>
      <w:tr w:rsidTr="00677B9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77B9F">
            <w:pPr>
              <w:pStyle w:val="BodyText"/>
              <w:rPr>
                <w:lang w:val="en-NZ"/>
              </w:rPr>
            </w:pPr>
          </w:p>
        </w:tc>
      </w:tr>
      <w:tr w:rsidTr="00677B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77B9F" w:rsidP="00677B9F">
            <w:pPr>
              <w:pStyle w:val="BodyText"/>
            </w:pPr>
            <w:r w:rsidRPr="00677B9F">
              <w:t>5</w:t>
            </w:r>
          </w:p>
        </w:tc>
        <w:tc>
          <w:tcPr>
            <w:tcW w:w="1962" w:type="dxa"/>
            <w:vMerge w:val="restart"/>
            <w:tcBorders>
              <w:top w:val="nil"/>
              <w:left w:val="nil"/>
              <w:bottom w:val="nil"/>
              <w:right w:val="nil"/>
            </w:tcBorders>
            <w:tcMar>
              <w:top w:w="0" w:type="dxa"/>
              <w:left w:w="62" w:type="dxa"/>
              <w:bottom w:w="0" w:type="dxa"/>
              <w:right w:w="62" w:type="dxa"/>
            </w:tcMar>
          </w:tcPr>
          <w:p w:rsidR="00000000" w:rsidP="00677B9F">
            <w:pPr>
              <w:pStyle w:val="BodyText"/>
              <w:rPr>
                <w:lang w:val="en-NZ"/>
              </w:rPr>
            </w:pPr>
            <w:r w:rsidRPr="00677B9F">
              <w:rPr>
                <w:rStyle w:val="SpecialBold"/>
              </w:rPr>
              <w:t>Recommend further improvements</w:t>
            </w:r>
          </w:p>
        </w:tc>
        <w:tc>
          <w:tcPr>
            <w:tcW w:w="770" w:type="dxa"/>
            <w:tcBorders>
              <w:top w:val="nil"/>
              <w:left w:val="nil"/>
              <w:bottom w:val="nil"/>
              <w:right w:val="nil"/>
            </w:tcBorders>
            <w:tcMar>
              <w:top w:w="0" w:type="dxa"/>
              <w:left w:w="62" w:type="dxa"/>
              <w:bottom w:w="0" w:type="dxa"/>
              <w:right w:w="62" w:type="dxa"/>
            </w:tcMar>
          </w:tcPr>
          <w:p w:rsidR="00000000" w:rsidP="00677B9F">
            <w:pPr>
              <w:pStyle w:val="BodyText"/>
              <w:rPr>
                <w:lang w:val="en-NZ"/>
              </w:rPr>
            </w:pPr>
            <w:r w:rsidRPr="00677B9F">
              <w:t>5.1</w:t>
            </w:r>
          </w:p>
        </w:tc>
        <w:tc>
          <w:tcPr>
            <w:tcW w:w="5610" w:type="dxa"/>
            <w:tcBorders>
              <w:top w:val="nil"/>
              <w:left w:val="nil"/>
              <w:bottom w:val="nil"/>
              <w:right w:val="nil"/>
            </w:tcBorders>
            <w:tcMar>
              <w:top w:w="0" w:type="dxa"/>
              <w:left w:w="62" w:type="dxa"/>
              <w:bottom w:w="0" w:type="dxa"/>
              <w:right w:w="62" w:type="dxa"/>
            </w:tcMar>
          </w:tcPr>
          <w:p w:rsidR="00000000" w:rsidP="00677B9F">
            <w:pPr>
              <w:pStyle w:val="BodyText"/>
              <w:rPr>
                <w:lang w:val="en-NZ"/>
              </w:rPr>
            </w:pPr>
            <w:r w:rsidRPr="00677B9F">
              <w:t>Measure improvements actually obtained.</w:t>
            </w:r>
          </w:p>
        </w:tc>
      </w:tr>
      <w:tr w:rsidTr="00677B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677B9F">
            <w:pPr>
              <w:pStyle w:val="BodyText"/>
              <w:rPr>
                <w:lang w:val="en-NZ"/>
              </w:rPr>
            </w:pPr>
            <w:r w:rsidRPr="00677B9F">
              <w:t>5.2</w:t>
            </w:r>
          </w:p>
        </w:tc>
        <w:tc>
          <w:tcPr>
            <w:tcW w:w="5610" w:type="dxa"/>
            <w:tcBorders>
              <w:top w:val="nil"/>
              <w:left w:val="nil"/>
              <w:bottom w:val="nil"/>
              <w:right w:val="nil"/>
            </w:tcBorders>
            <w:tcMar>
              <w:top w:w="0" w:type="dxa"/>
              <w:left w:w="62" w:type="dxa"/>
              <w:bottom w:w="0" w:type="dxa"/>
              <w:right w:w="62" w:type="dxa"/>
            </w:tcMar>
          </w:tcPr>
          <w:p w:rsidR="00000000" w:rsidP="00677B9F">
            <w:pPr>
              <w:pStyle w:val="BodyText"/>
              <w:rPr>
                <w:lang w:val="en-NZ"/>
              </w:rPr>
            </w:pPr>
            <w:r w:rsidRPr="00677B9F">
              <w:t>Identify non-compliances with planned improvements.</w:t>
            </w:r>
          </w:p>
        </w:tc>
      </w:tr>
      <w:tr w:rsidTr="00677B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677B9F">
            <w:pPr>
              <w:pStyle w:val="BodyText"/>
              <w:rPr>
                <w:lang w:val="en-NZ"/>
              </w:rPr>
            </w:pPr>
            <w:r w:rsidRPr="00677B9F">
              <w:t>5.3</w:t>
            </w:r>
          </w:p>
        </w:tc>
        <w:tc>
          <w:tcPr>
            <w:tcW w:w="5610" w:type="dxa"/>
            <w:tcBorders>
              <w:top w:val="nil"/>
              <w:left w:val="nil"/>
              <w:bottom w:val="nil"/>
              <w:right w:val="nil"/>
            </w:tcBorders>
            <w:tcMar>
              <w:top w:w="0" w:type="dxa"/>
              <w:left w:w="62" w:type="dxa"/>
              <w:bottom w:w="0" w:type="dxa"/>
              <w:right w:w="62" w:type="dxa"/>
            </w:tcMar>
          </w:tcPr>
          <w:p w:rsidR="00000000" w:rsidRPr="00677B9F" w:rsidP="00677B9F">
            <w:pPr>
              <w:pStyle w:val="BodyText"/>
            </w:pPr>
            <w:r w:rsidRPr="00677B9F">
              <w:t>Determine additional improvements desirable.</w:t>
            </w:r>
          </w:p>
        </w:tc>
      </w:tr>
    </w:tbl>
    <w:p w:rsidR="00000000" w:rsidRPr="00677B9F" w:rsidP="00677B9F">
      <w:pPr>
        <w:pStyle w:val="BodyText"/>
      </w:pPr>
    </w:p>
    <w:p w:rsidR="00000000" w:rsidRPr="00677B9F" w:rsidP="00677B9F">
      <w:pPr>
        <w:pStyle w:val="AllowPageBreak"/>
      </w:pPr>
    </w:p>
    <w:p w:rsidR="00000000" w:rsidRPr="00677B9F" w:rsidP="00677B9F">
      <w:pPr>
        <w:pStyle w:val="Heading1"/>
      </w:pPr>
      <w:bookmarkStart w:id="7" w:name="O_923175"/>
      <w:bookmarkEnd w:id="7"/>
      <w:r w:rsidRPr="00677B9F">
        <w:t>Foundation Skills</w:t>
      </w:r>
    </w:p>
    <w:p w:rsidR="00000000" w:rsidRPr="00677B9F" w:rsidP="00677B9F">
      <w:pPr>
        <w:pStyle w:val="BodyText"/>
      </w:pPr>
      <w:r w:rsidRPr="00677B9F">
        <w:t>This section de</w:t>
      </w:r>
      <w:r w:rsidRPr="00677B9F">
        <w:t>scribes those required skills (language, literacy and numeracy) that are essential to performance.</w:t>
      </w:r>
    </w:p>
    <w:p w:rsidR="00000000" w:rsidRPr="00677B9F" w:rsidP="00677B9F">
      <w:pPr>
        <w:pStyle w:val="BodyText"/>
      </w:pPr>
    </w:p>
    <w:p w:rsidR="00000000" w:rsidRPr="00677B9F" w:rsidP="00677B9F">
      <w:pPr>
        <w:pStyle w:val="BodyText"/>
      </w:pPr>
      <w:r w:rsidRPr="00677B9F">
        <w:t>Foundation skills essential to performance are explicit in the performance criteria of this unit of competency.</w:t>
      </w:r>
    </w:p>
    <w:p w:rsidR="00000000" w:rsidRPr="00677B9F" w:rsidP="00677B9F">
      <w:pPr>
        <w:pStyle w:val="AllowPageBreak"/>
      </w:pPr>
    </w:p>
    <w:p w:rsidR="00000000" w:rsidRPr="00677B9F" w:rsidP="00677B9F">
      <w:pPr>
        <w:pStyle w:val="Heading1"/>
      </w:pPr>
      <w:bookmarkStart w:id="8" w:name="O_923174"/>
      <w:bookmarkEnd w:id="8"/>
      <w:r w:rsidRPr="00677B9F">
        <w:t>Range of Conditions</w:t>
      </w:r>
    </w:p>
    <w:tbl>
      <w:tblPr>
        <w:tblW w:w="0" w:type="auto"/>
        <w:tblLayout w:type="fixed"/>
        <w:tblCellMar>
          <w:left w:w="62" w:type="dxa"/>
          <w:right w:w="62" w:type="dxa"/>
        </w:tblCellMar>
        <w:tblLook w:val="0000"/>
      </w:tblPr>
      <w:tblGrid>
        <w:gridCol w:w="2233"/>
        <w:gridCol w:w="6839"/>
      </w:tblGrid>
      <w:tr w:rsidTr="00677B9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77B9F">
            <w:pPr>
              <w:pStyle w:val="BodyText"/>
              <w:rPr>
                <w:lang w:val="en-NZ"/>
              </w:rPr>
            </w:pPr>
            <w:r w:rsidRPr="00677B9F">
              <w:t>This fi</w:t>
            </w:r>
            <w:r w:rsidRPr="00677B9F">
              <w:t>eld allows for different work environments and conditions that may affect performance. Essential operating conditions that may be present (depending on the work situation, needs of the candidate, accessibility of the item, and local industry and regional c</w:t>
            </w:r>
            <w:r w:rsidRPr="00677B9F">
              <w:t>ontexts) are included.</w:t>
            </w:r>
          </w:p>
        </w:tc>
      </w:tr>
      <w:tr w:rsidTr="00677B9F">
        <w:tblPrEx>
          <w:tblW w:w="0" w:type="auto"/>
          <w:tblLayout w:type="fixed"/>
          <w:tblCellMar>
            <w:left w:w="62" w:type="dxa"/>
            <w:right w:w="62" w:type="dxa"/>
          </w:tblCellMar>
          <w:tblLook w:val="0000"/>
        </w:tblPrEx>
        <w:tc>
          <w:tcPr>
            <w:tcW w:w="2233" w:type="dxa"/>
            <w:tcBorders>
              <w:top w:val="nil"/>
              <w:left w:val="nil"/>
              <w:bottom w:val="nil"/>
              <w:right w:val="nil"/>
            </w:tcBorders>
            <w:tcMar>
              <w:top w:w="0" w:type="dxa"/>
              <w:left w:w="62" w:type="dxa"/>
              <w:bottom w:w="0" w:type="dxa"/>
              <w:right w:w="62" w:type="dxa"/>
            </w:tcMar>
          </w:tcPr>
          <w:p w:rsidR="00000000" w:rsidP="00677B9F">
            <w:pPr>
              <w:pStyle w:val="BodyText"/>
              <w:rPr>
                <w:lang w:val="en-NZ"/>
              </w:rPr>
            </w:pPr>
            <w:r w:rsidRPr="00677B9F">
              <w:rPr>
                <w:rStyle w:val="SpecialBold"/>
              </w:rPr>
              <w:t>Regulation includes one or more of</w:t>
            </w:r>
          </w:p>
        </w:tc>
        <w:tc>
          <w:tcPr>
            <w:tcW w:w="6839" w:type="dxa"/>
            <w:tcBorders>
              <w:top w:val="nil"/>
              <w:left w:val="nil"/>
              <w:bottom w:val="nil"/>
              <w:right w:val="nil"/>
            </w:tcBorders>
            <w:tcMar>
              <w:top w:w="0" w:type="dxa"/>
              <w:left w:w="62" w:type="dxa"/>
              <w:bottom w:w="0" w:type="dxa"/>
              <w:right w:w="62" w:type="dxa"/>
            </w:tcMar>
          </w:tcPr>
          <w:p w:rsidR="00000000" w:rsidRPr="00677B9F" w:rsidP="00677B9F">
            <w:pPr>
              <w:pStyle w:val="ListBullet"/>
            </w:pPr>
            <w:r w:rsidRPr="00677B9F">
              <w:t>regulations and legislation as may be in force to regulate emissions or similar</w:t>
            </w:r>
          </w:p>
          <w:p w:rsidR="00000000" w:rsidRPr="00677B9F" w:rsidP="00677B9F">
            <w:pPr>
              <w:pStyle w:val="ListBullet"/>
            </w:pPr>
            <w:r w:rsidRPr="00677B9F">
              <w:t>standards (such as AS/NZS ISO 14001 Environmental Management Standards), codes of practice and other sustaina</w:t>
            </w:r>
            <w:r w:rsidRPr="00677B9F">
              <w:t>bility related regulation arrangements.</w:t>
            </w:r>
          </w:p>
          <w:p w:rsidR="00000000" w:rsidP="00677B9F">
            <w:pPr>
              <w:pStyle w:val="BodyText"/>
              <w:rPr>
                <w:lang w:val="en-NZ"/>
              </w:rPr>
            </w:pPr>
          </w:p>
        </w:tc>
      </w:tr>
      <w:tr w:rsidTr="00677B9F">
        <w:tblPrEx>
          <w:tblW w:w="0" w:type="auto"/>
          <w:tblLayout w:type="fixed"/>
          <w:tblCellMar>
            <w:left w:w="62" w:type="dxa"/>
            <w:right w:w="62" w:type="dxa"/>
          </w:tblCellMar>
          <w:tblLook w:val="0000"/>
        </w:tblPrEx>
        <w:tc>
          <w:tcPr>
            <w:tcW w:w="2233" w:type="dxa"/>
            <w:tcBorders>
              <w:top w:val="nil"/>
              <w:left w:val="nil"/>
              <w:bottom w:val="nil"/>
              <w:right w:val="nil"/>
            </w:tcBorders>
            <w:tcMar>
              <w:top w:w="0" w:type="dxa"/>
              <w:left w:w="62" w:type="dxa"/>
              <w:bottom w:w="0" w:type="dxa"/>
              <w:right w:w="62" w:type="dxa"/>
            </w:tcMar>
          </w:tcPr>
          <w:p w:rsidR="00000000" w:rsidP="00677B9F">
            <w:pPr>
              <w:pStyle w:val="BodyText"/>
              <w:rPr>
                <w:lang w:val="en-NZ"/>
              </w:rPr>
            </w:pPr>
            <w:r w:rsidRPr="00677B9F">
              <w:rPr>
                <w:rStyle w:val="SpecialBold"/>
              </w:rPr>
              <w:t>Alternative responses include one or more of</w:t>
            </w:r>
          </w:p>
        </w:tc>
        <w:tc>
          <w:tcPr>
            <w:tcW w:w="6839" w:type="dxa"/>
            <w:tcBorders>
              <w:top w:val="nil"/>
              <w:left w:val="nil"/>
              <w:bottom w:val="nil"/>
              <w:right w:val="nil"/>
            </w:tcBorders>
            <w:tcMar>
              <w:top w:w="0" w:type="dxa"/>
              <w:left w:w="62" w:type="dxa"/>
              <w:bottom w:w="0" w:type="dxa"/>
              <w:right w:w="62" w:type="dxa"/>
            </w:tcMar>
          </w:tcPr>
          <w:p w:rsidR="00000000" w:rsidRPr="00677B9F" w:rsidP="00677B9F">
            <w:pPr>
              <w:pStyle w:val="ListBullet"/>
            </w:pPr>
            <w:r w:rsidRPr="00677B9F">
              <w:t>process, procedural and practice changes to reduce carbon emissions</w:t>
            </w:r>
          </w:p>
          <w:p w:rsidR="00000000" w:rsidRPr="00677B9F" w:rsidP="00677B9F">
            <w:pPr>
              <w:pStyle w:val="ListBullet"/>
            </w:pPr>
            <w:r w:rsidRPr="00677B9F">
              <w:t>value chain changes to reduce carbon emissions</w:t>
            </w:r>
          </w:p>
          <w:p w:rsidR="00000000" w:rsidRPr="00677B9F" w:rsidP="00677B9F">
            <w:pPr>
              <w:pStyle w:val="ListBullet"/>
            </w:pPr>
            <w:r w:rsidRPr="00677B9F">
              <w:t>carbon trading responses modify cost of compliance</w:t>
            </w:r>
          </w:p>
          <w:p w:rsidR="00000000" w:rsidRPr="00677B9F" w:rsidP="00677B9F">
            <w:pPr>
              <w:pStyle w:val="ListBullet"/>
            </w:pPr>
            <w:r w:rsidRPr="00677B9F">
              <w:t>ot</w:t>
            </w:r>
            <w:r w:rsidRPr="00677B9F">
              <w:t>her market operations where relevant</w:t>
            </w:r>
          </w:p>
          <w:p w:rsidR="00000000" w:rsidRPr="00677B9F" w:rsidP="00677B9F">
            <w:pPr>
              <w:pStyle w:val="ListBullet"/>
            </w:pPr>
            <w:r w:rsidRPr="00677B9F">
              <w:t>material, component and product changes to reduce emissions/improve compliance.</w:t>
            </w:r>
          </w:p>
          <w:p w:rsidR="00000000" w:rsidP="00677B9F">
            <w:pPr>
              <w:pStyle w:val="BodyText"/>
              <w:rPr>
                <w:lang w:val="en-NZ"/>
              </w:rPr>
            </w:pPr>
          </w:p>
        </w:tc>
      </w:tr>
      <w:tr w:rsidTr="00677B9F">
        <w:tblPrEx>
          <w:tblW w:w="0" w:type="auto"/>
          <w:tblLayout w:type="fixed"/>
          <w:tblCellMar>
            <w:left w:w="62" w:type="dxa"/>
            <w:right w:w="62" w:type="dxa"/>
          </w:tblCellMar>
          <w:tblLook w:val="0000"/>
        </w:tblPrEx>
        <w:tc>
          <w:tcPr>
            <w:tcW w:w="2233" w:type="dxa"/>
            <w:tcBorders>
              <w:top w:val="nil"/>
              <w:left w:val="nil"/>
              <w:bottom w:val="nil"/>
              <w:right w:val="nil"/>
            </w:tcBorders>
            <w:tcMar>
              <w:top w:w="0" w:type="dxa"/>
              <w:left w:w="62" w:type="dxa"/>
              <w:bottom w:w="0" w:type="dxa"/>
              <w:right w:w="62" w:type="dxa"/>
            </w:tcMar>
          </w:tcPr>
          <w:p w:rsidR="00000000" w:rsidP="00677B9F">
            <w:pPr>
              <w:pStyle w:val="BodyText"/>
              <w:rPr>
                <w:lang w:val="en-NZ"/>
              </w:rPr>
            </w:pPr>
            <w:r w:rsidRPr="00677B9F">
              <w:rPr>
                <w:rStyle w:val="SpecialBold"/>
              </w:rPr>
              <w:t>Desirability ranking includes one or more of</w:t>
            </w:r>
          </w:p>
        </w:tc>
        <w:tc>
          <w:tcPr>
            <w:tcW w:w="6839" w:type="dxa"/>
            <w:tcBorders>
              <w:top w:val="nil"/>
              <w:left w:val="nil"/>
              <w:bottom w:val="nil"/>
              <w:right w:val="nil"/>
            </w:tcBorders>
            <w:tcMar>
              <w:top w:w="0" w:type="dxa"/>
              <w:left w:w="62" w:type="dxa"/>
              <w:bottom w:w="0" w:type="dxa"/>
              <w:right w:w="62" w:type="dxa"/>
            </w:tcMar>
          </w:tcPr>
          <w:p w:rsidR="00000000" w:rsidRPr="00677B9F" w:rsidP="00677B9F">
            <w:pPr>
              <w:pStyle w:val="ListBullet"/>
            </w:pPr>
            <w:r w:rsidRPr="00677B9F">
              <w:t>regulatory required changes</w:t>
            </w:r>
          </w:p>
          <w:p w:rsidR="00000000" w:rsidRPr="00677B9F" w:rsidP="00677B9F">
            <w:pPr>
              <w:pStyle w:val="ListBullet"/>
            </w:pPr>
            <w:r w:rsidRPr="00677B9F">
              <w:t>direct dollar benefit/cost</w:t>
            </w:r>
          </w:p>
          <w:p w:rsidR="00000000" w:rsidRPr="00677B9F" w:rsidP="00677B9F">
            <w:pPr>
              <w:pStyle w:val="ListBullet"/>
            </w:pPr>
            <w:r w:rsidRPr="00677B9F">
              <w:t>customer benefit</w:t>
            </w:r>
          </w:p>
          <w:p w:rsidR="00000000" w:rsidRPr="00677B9F" w:rsidP="00677B9F">
            <w:pPr>
              <w:pStyle w:val="ListBullet"/>
            </w:pPr>
            <w:r w:rsidRPr="00677B9F">
              <w:t>stakeholder perception</w:t>
            </w:r>
          </w:p>
          <w:p w:rsidR="00000000" w:rsidRPr="00677B9F" w:rsidP="00677B9F">
            <w:pPr>
              <w:pStyle w:val="ListBullet"/>
            </w:pPr>
            <w:r w:rsidRPr="00677B9F">
              <w:t>life cycle improvements.</w:t>
            </w:r>
          </w:p>
          <w:p w:rsidR="00000000" w:rsidRPr="00677B9F" w:rsidP="00677B9F">
            <w:pPr>
              <w:pStyle w:val="BodyText"/>
            </w:pPr>
          </w:p>
        </w:tc>
      </w:tr>
    </w:tbl>
    <w:p w:rsidR="00000000" w:rsidRPr="00677B9F" w:rsidP="00677B9F">
      <w:pPr>
        <w:pStyle w:val="BodyText"/>
      </w:pPr>
    </w:p>
    <w:p w:rsidR="00000000" w:rsidRPr="00677B9F" w:rsidP="00677B9F">
      <w:pPr>
        <w:pStyle w:val="AllowPageBreak"/>
      </w:pPr>
    </w:p>
    <w:p w:rsidR="00000000" w:rsidRPr="00677B9F" w:rsidP="00677B9F">
      <w:pPr>
        <w:pStyle w:val="Heading1"/>
      </w:pPr>
      <w:bookmarkStart w:id="9" w:name="O_923173"/>
      <w:bookmarkEnd w:id="9"/>
      <w:r w:rsidRPr="00677B9F">
        <w:t>Unit Mapping Information</w:t>
      </w:r>
    </w:p>
    <w:p w:rsidR="00000000" w:rsidRPr="00677B9F" w:rsidP="00677B9F">
      <w:pPr>
        <w:pStyle w:val="BodyText"/>
      </w:pPr>
      <w:r w:rsidRPr="00677B9F">
        <w:t xml:space="preserve">Release 1. Supersedes and is equivalent to MSS015014A Develop response to sustainability related regulation. </w:t>
      </w:r>
    </w:p>
    <w:p w:rsidR="00000000" w:rsidRPr="00677B9F" w:rsidP="00677B9F">
      <w:pPr>
        <w:pStyle w:val="AllowPageBreak"/>
      </w:pPr>
    </w:p>
    <w:p w:rsidR="00000000" w:rsidRPr="00677B9F" w:rsidP="00677B9F">
      <w:pPr>
        <w:pStyle w:val="Heading1"/>
      </w:pPr>
      <w:bookmarkStart w:id="10" w:name="O_923166"/>
      <w:bookmarkEnd w:id="10"/>
      <w:r w:rsidRPr="00677B9F">
        <w:t>Links</w:t>
      </w:r>
    </w:p>
    <w:p w:rsidR="00000000" w:rsidRPr="00677B9F" w:rsidP="00677B9F">
      <w:pPr>
        <w:pStyle w:val="BodyText"/>
      </w:pPr>
      <w:r w:rsidRPr="00677B9F">
        <w:t>Companion Volume implementation guides are found in VETNet - https://vetnet.education.gov.au/Pages/TrainingDocs.aspx?q=5b04f318-804f-4dc0-9463-c3fb9a3fe998</w:t>
      </w:r>
    </w:p>
    <w:p w:rsidR="00000000" w:rsidRPr="00677B9F" w:rsidP="00677B9F"/>
    <w:sectPr w:rsidSect="00677B9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B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B9F" w:rsidRPr="0026196D" w:rsidP="002619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B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96D" w:rsidP="00677B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26196D" w:rsidP="00677B9F">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6196D" w:rsidP="00677B9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B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96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77B9F" w:rsidRPr="0026196D" w:rsidP="0026196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B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96D" w:rsidRPr="002D2AF8" w:rsidP="00677B9F">
    <w:pPr>
      <w:pStyle w:val="Header"/>
      <w:framePr w:wrap="around"/>
    </w:pPr>
    <w:r>
      <w:fldChar w:fldCharType="begin"/>
    </w:r>
    <w:r>
      <w:instrText xml:space="preserve"> TITLE   \* MERGEFORMAT </w:instrText>
    </w:r>
    <w:r>
      <w:fldChar w:fldCharType="separate"/>
    </w:r>
    <w:r>
      <w:t>MSS015014 Develop response to sustainability related regulation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October 2018</w:t>
    </w:r>
    <w:r>
      <w:fldChar w:fldCharType="end"/>
    </w:r>
  </w:p>
  <w:p w:rsidR="0026196D" w:rsidP="00677B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0B27B5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F7C3B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7B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7B9F"/>
    <w:pPr>
      <w:spacing w:before="360" w:after="60"/>
      <w:outlineLvl w:val="0"/>
    </w:pPr>
    <w:rPr>
      <w:sz w:val="32"/>
    </w:rPr>
  </w:style>
  <w:style w:type="paragraph" w:styleId="Heading2">
    <w:name w:val="heading 2"/>
    <w:basedOn w:val="HeadingBase"/>
    <w:next w:val="BodyText"/>
    <w:link w:val="Heading2Char"/>
    <w:qFormat/>
    <w:rsid w:val="00677B9F"/>
    <w:pPr>
      <w:keepLines/>
      <w:spacing w:before="240" w:after="120"/>
      <w:outlineLvl w:val="1"/>
    </w:pPr>
    <w:rPr>
      <w:sz w:val="28"/>
      <w:szCs w:val="40"/>
    </w:rPr>
  </w:style>
  <w:style w:type="paragraph" w:styleId="Heading3">
    <w:name w:val="heading 3"/>
    <w:basedOn w:val="HeadingBase"/>
    <w:next w:val="BodyText"/>
    <w:link w:val="Heading3Char"/>
    <w:qFormat/>
    <w:rsid w:val="00677B9F"/>
    <w:pPr>
      <w:spacing w:before="180" w:after="120"/>
      <w:outlineLvl w:val="2"/>
    </w:pPr>
    <w:rPr>
      <w:spacing w:val="-10"/>
      <w:kern w:val="32"/>
    </w:rPr>
  </w:style>
  <w:style w:type="paragraph" w:styleId="Heading4">
    <w:name w:val="heading 4"/>
    <w:basedOn w:val="HeadingBase"/>
    <w:next w:val="BodyText"/>
    <w:link w:val="Heading4Char"/>
    <w:qFormat/>
    <w:rsid w:val="00677B9F"/>
    <w:pPr>
      <w:spacing w:before="160" w:after="120"/>
      <w:outlineLvl w:val="3"/>
    </w:pPr>
    <w:rPr>
      <w:sz w:val="22"/>
    </w:rPr>
  </w:style>
  <w:style w:type="paragraph" w:styleId="Heading5">
    <w:name w:val="heading 5"/>
    <w:basedOn w:val="HeadingBase"/>
    <w:next w:val="Normal"/>
    <w:link w:val="Heading5Char"/>
    <w:qFormat/>
    <w:rsid w:val="00677B9F"/>
    <w:pPr>
      <w:spacing w:before="80"/>
      <w:outlineLvl w:val="4"/>
    </w:pPr>
    <w:rPr>
      <w:color w:val="918585"/>
      <w:sz w:val="20"/>
    </w:rPr>
  </w:style>
  <w:style w:type="paragraph" w:styleId="Heading6">
    <w:name w:val="heading 6"/>
    <w:basedOn w:val="HeadingBase"/>
    <w:next w:val="Normal"/>
    <w:link w:val="Heading6Char"/>
    <w:qFormat/>
    <w:rsid w:val="00677B9F"/>
    <w:pPr>
      <w:spacing w:before="60"/>
      <w:outlineLvl w:val="5"/>
    </w:pPr>
    <w:rPr>
      <w:color w:val="918585"/>
      <w:sz w:val="20"/>
    </w:rPr>
  </w:style>
  <w:style w:type="paragraph" w:styleId="Heading7">
    <w:name w:val="heading 7"/>
    <w:basedOn w:val="Normal"/>
    <w:next w:val="Normal"/>
    <w:link w:val="Heading7Char"/>
    <w:qFormat/>
    <w:rsid w:val="00677B9F"/>
    <w:pPr>
      <w:ind w:left="720"/>
      <w:outlineLvl w:val="6"/>
    </w:pPr>
    <w:rPr>
      <w:i/>
    </w:rPr>
  </w:style>
  <w:style w:type="paragraph" w:styleId="Heading8">
    <w:name w:val="heading 8"/>
    <w:basedOn w:val="Normal"/>
    <w:next w:val="Normal"/>
    <w:link w:val="Heading8Char"/>
    <w:qFormat/>
    <w:rsid w:val="00677B9F"/>
    <w:pPr>
      <w:ind w:left="720"/>
      <w:outlineLvl w:val="7"/>
    </w:pPr>
    <w:rPr>
      <w:i/>
    </w:rPr>
  </w:style>
  <w:style w:type="paragraph" w:styleId="Heading9">
    <w:name w:val="heading 9"/>
    <w:basedOn w:val="Normal"/>
    <w:next w:val="Normal"/>
    <w:link w:val="Heading9Char"/>
    <w:qFormat/>
    <w:rsid w:val="00677B9F"/>
    <w:pPr>
      <w:ind w:left="720"/>
      <w:outlineLvl w:val="8"/>
    </w:pPr>
    <w:rPr>
      <w:i/>
    </w:rPr>
  </w:style>
  <w:style w:type="character" w:default="1" w:styleId="DefaultParagraphFont">
    <w:name w:val="Default Paragraph Font"/>
    <w:uiPriority w:val="1"/>
    <w:unhideWhenUsed/>
    <w:rsid w:val="00677B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7B9F"/>
  </w:style>
  <w:style w:type="character" w:customStyle="1" w:styleId="Heading1Char">
    <w:name w:val="Heading 1 Char"/>
    <w:basedOn w:val="DefaultParagraphFont"/>
    <w:link w:val="Heading1"/>
    <w:rsid w:val="00677B9F"/>
    <w:rPr>
      <w:rFonts w:ascii="Times New Roman" w:eastAsia="Times New Roman" w:hAnsi="Times New Roman" w:cs="Times New Roman"/>
      <w:b/>
      <w:sz w:val="32"/>
      <w:szCs w:val="20"/>
      <w:lang w:eastAsia="en-US"/>
    </w:rPr>
  </w:style>
  <w:style w:type="paragraph" w:styleId="BodyText">
    <w:name w:val="Body Text"/>
    <w:basedOn w:val="Normal"/>
    <w:link w:val="BodyTextChar"/>
    <w:rsid w:val="00677B9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77B9F"/>
    <w:rPr>
      <w:rFonts w:ascii="Times New Roman" w:eastAsia="Times New Roman" w:hAnsi="Times New Roman" w:cs="Times New Roman"/>
      <w:sz w:val="24"/>
      <w:lang w:eastAsia="en-US"/>
    </w:rPr>
  </w:style>
  <w:style w:type="paragraph" w:styleId="ListBullet">
    <w:name w:val="List Bullet"/>
    <w:basedOn w:val="List"/>
    <w:rsid w:val="00677B9F"/>
    <w:pPr>
      <w:numPr>
        <w:numId w:val="12"/>
      </w:numPr>
      <w:tabs>
        <w:tab w:val="clear" w:pos="340"/>
      </w:tabs>
      <w:spacing w:before="40" w:after="40"/>
    </w:pPr>
  </w:style>
  <w:style w:type="character" w:customStyle="1" w:styleId="SpecialBold">
    <w:name w:val="Special Bold"/>
    <w:basedOn w:val="DefaultParagraphFont"/>
    <w:rsid w:val="00677B9F"/>
    <w:rPr>
      <w:b/>
      <w:spacing w:val="0"/>
    </w:rPr>
  </w:style>
  <w:style w:type="paragraph" w:customStyle="1" w:styleId="SuperHeading">
    <w:name w:val="SuperHeading"/>
    <w:basedOn w:val="Normal"/>
    <w:rsid w:val="00677B9F"/>
    <w:pPr>
      <w:spacing w:before="240" w:after="120"/>
      <w:outlineLvl w:val="0"/>
    </w:pPr>
    <w:rPr>
      <w:rFonts w:ascii="Times New Roman" w:hAnsi="Times New Roman"/>
      <w:b/>
      <w:sz w:val="32"/>
    </w:rPr>
  </w:style>
  <w:style w:type="paragraph" w:customStyle="1" w:styleId="AllowPageBreak">
    <w:name w:val="AllowPageBreak"/>
    <w:rsid w:val="00677B9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77B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7B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7B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7B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7B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7B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7B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7B9F"/>
    <w:rPr>
      <w:rFonts w:ascii="Courier New" w:eastAsia="Times New Roman" w:hAnsi="Courier New" w:cs="Times New Roman"/>
      <w:i/>
      <w:szCs w:val="20"/>
      <w:lang w:eastAsia="en-US"/>
    </w:rPr>
  </w:style>
  <w:style w:type="paragraph" w:customStyle="1" w:styleId="HeadingBase">
    <w:name w:val="Heading Base"/>
    <w:rsid w:val="00677B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7B9F"/>
    <w:pPr>
      <w:tabs>
        <w:tab w:val="right" w:leader="dot" w:pos="9072"/>
      </w:tabs>
      <w:ind w:left="567"/>
    </w:pPr>
    <w:rPr>
      <w:szCs w:val="22"/>
    </w:rPr>
  </w:style>
  <w:style w:type="paragraph" w:customStyle="1" w:styleId="TOCBase">
    <w:name w:val="TOC Base"/>
    <w:rsid w:val="00677B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7B9F"/>
    <w:pPr>
      <w:tabs>
        <w:tab w:val="right" w:leader="dot" w:pos="9072"/>
      </w:tabs>
      <w:spacing w:before="40" w:after="40"/>
      <w:ind w:left="284"/>
    </w:pPr>
    <w:rPr>
      <w:rFonts w:ascii="Times New Roman" w:hAnsi="Times New Roman"/>
    </w:rPr>
  </w:style>
  <w:style w:type="paragraph" w:styleId="TOC1">
    <w:name w:val="toc 1"/>
    <w:basedOn w:val="TOCBase"/>
    <w:next w:val="Normal"/>
    <w:rsid w:val="00677B9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7B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7B9F"/>
    <w:rPr>
      <w:rFonts w:ascii="Times New Roman" w:eastAsia="Times New Roman" w:hAnsi="Times New Roman" w:cs="Times New Roman"/>
      <w:sz w:val="16"/>
      <w:lang w:eastAsia="en-US"/>
    </w:rPr>
  </w:style>
  <w:style w:type="paragraph" w:styleId="Title">
    <w:name w:val="Title"/>
    <w:basedOn w:val="HeadingBase"/>
    <w:link w:val="TitleChar"/>
    <w:qFormat/>
    <w:rsid w:val="00677B9F"/>
    <w:pPr>
      <w:spacing w:before="5040"/>
      <w:jc w:val="center"/>
    </w:pPr>
    <w:rPr>
      <w:sz w:val="48"/>
      <w:szCs w:val="72"/>
      <w:lang w:val="en-US"/>
    </w:rPr>
  </w:style>
  <w:style w:type="character" w:customStyle="1" w:styleId="TitleChar">
    <w:name w:val="Title Char"/>
    <w:basedOn w:val="DefaultParagraphFont"/>
    <w:link w:val="Title"/>
    <w:rsid w:val="00677B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7B9F"/>
    <w:pPr>
      <w:tabs>
        <w:tab w:val="left" w:pos="3600"/>
        <w:tab w:val="left" w:pos="3958"/>
      </w:tabs>
    </w:pPr>
  </w:style>
  <w:style w:type="paragraph" w:styleId="List">
    <w:name w:val="List"/>
    <w:basedOn w:val="BodyText"/>
    <w:next w:val="BodyText"/>
    <w:rsid w:val="00677B9F"/>
    <w:pPr>
      <w:tabs>
        <w:tab w:val="left" w:pos="340"/>
      </w:tabs>
      <w:spacing w:before="60" w:after="60"/>
      <w:ind w:left="340" w:hanging="340"/>
    </w:pPr>
  </w:style>
  <w:style w:type="paragraph" w:customStyle="1" w:styleId="Note">
    <w:name w:val="Note"/>
    <w:basedOn w:val="BodyText"/>
    <w:rsid w:val="00677B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7B9F"/>
    <w:pPr>
      <w:framePr w:wrap="auto" w:hAnchor="text" w:y="6049"/>
    </w:pPr>
    <w:rPr>
      <w:color w:val="000000"/>
      <w:sz w:val="40"/>
    </w:rPr>
  </w:style>
  <w:style w:type="paragraph" w:customStyle="1" w:styleId="TOCTitle">
    <w:name w:val="TOCTitle"/>
    <w:basedOn w:val="Heading1"/>
    <w:rsid w:val="00677B9F"/>
    <w:pPr>
      <w:spacing w:after="240"/>
      <w:jc w:val="center"/>
      <w:outlineLvl w:val="9"/>
    </w:pPr>
    <w:rPr>
      <w:caps/>
    </w:rPr>
  </w:style>
  <w:style w:type="paragraph" w:customStyle="1" w:styleId="Version">
    <w:name w:val="Version"/>
    <w:rsid w:val="00677B9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77B9F"/>
    <w:pPr>
      <w:numPr>
        <w:numId w:val="13"/>
      </w:numPr>
      <w:tabs>
        <w:tab w:val="clear" w:pos="680"/>
      </w:tabs>
    </w:pPr>
  </w:style>
  <w:style w:type="paragraph" w:styleId="Index1">
    <w:name w:val="index 1"/>
    <w:basedOn w:val="Normal"/>
    <w:next w:val="Normal"/>
    <w:semiHidden/>
    <w:rsid w:val="00677B9F"/>
    <w:pPr>
      <w:keepNext w:val="0"/>
      <w:tabs>
        <w:tab w:val="right" w:pos="4176"/>
      </w:tabs>
      <w:ind w:left="198" w:hanging="198"/>
    </w:pPr>
    <w:rPr>
      <w:rFonts w:ascii="Garamond" w:hAnsi="Garamond"/>
    </w:rPr>
  </w:style>
  <w:style w:type="paragraph" w:styleId="IndexHeading">
    <w:name w:val="index heading"/>
    <w:basedOn w:val="Normal"/>
    <w:next w:val="Index1"/>
    <w:semiHidden/>
    <w:rsid w:val="00677B9F"/>
    <w:pPr>
      <w:spacing w:before="120" w:after="120"/>
    </w:pPr>
    <w:rPr>
      <w:rFonts w:ascii="Arial" w:hAnsi="Arial"/>
      <w:b/>
      <w:color w:val="918585"/>
      <w:sz w:val="24"/>
    </w:rPr>
  </w:style>
  <w:style w:type="paragraph" w:styleId="Header">
    <w:name w:val="header"/>
    <w:basedOn w:val="Normal"/>
    <w:link w:val="HeaderChar"/>
    <w:rsid w:val="00677B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7B9F"/>
    <w:rPr>
      <w:rFonts w:ascii="Times New Roman" w:eastAsia="Times New Roman" w:hAnsi="Times New Roman" w:cs="Times New Roman"/>
      <w:sz w:val="16"/>
      <w:szCs w:val="20"/>
      <w:lang w:val="en-GB" w:eastAsia="en-US"/>
    </w:rPr>
  </w:style>
  <w:style w:type="paragraph" w:customStyle="1" w:styleId="Chapter">
    <w:name w:val="Chapter"/>
    <w:basedOn w:val="Normal"/>
    <w:rsid w:val="00677B9F"/>
    <w:pPr>
      <w:spacing w:before="240"/>
    </w:pPr>
    <w:rPr>
      <w:rFonts w:ascii="Times New Roman" w:hAnsi="Times New Roman"/>
      <w:smallCaps/>
      <w:spacing w:val="80"/>
      <w:sz w:val="28"/>
    </w:rPr>
  </w:style>
  <w:style w:type="paragraph" w:customStyle="1" w:styleId="InChapter">
    <w:name w:val="InChapter"/>
    <w:basedOn w:val="Heading3"/>
    <w:rsid w:val="00677B9F"/>
    <w:pPr>
      <w:spacing w:after="240"/>
      <w:outlineLvl w:val="9"/>
    </w:pPr>
    <w:rPr>
      <w:noProof/>
    </w:rPr>
  </w:style>
  <w:style w:type="paragraph" w:styleId="Index2">
    <w:name w:val="index 2"/>
    <w:basedOn w:val="Normal"/>
    <w:next w:val="Normal"/>
    <w:semiHidden/>
    <w:rsid w:val="00677B9F"/>
    <w:pPr>
      <w:tabs>
        <w:tab w:val="right" w:pos="4176"/>
      </w:tabs>
      <w:ind w:left="568" w:hanging="284"/>
    </w:pPr>
    <w:rPr>
      <w:rFonts w:ascii="Garamond" w:hAnsi="Garamond"/>
    </w:rPr>
  </w:style>
  <w:style w:type="paragraph" w:customStyle="1" w:styleId="Byline">
    <w:name w:val="Byline"/>
    <w:rsid w:val="00677B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7B9F"/>
    <w:pPr>
      <w:tabs>
        <w:tab w:val="clear" w:pos="3600"/>
        <w:tab w:val="clear" w:pos="3958"/>
      </w:tabs>
      <w:jc w:val="right"/>
    </w:pPr>
  </w:style>
  <w:style w:type="character" w:styleId="Emphasis">
    <w:name w:val="Emphasis"/>
    <w:basedOn w:val="DefaultParagraphFont"/>
    <w:qFormat/>
    <w:rsid w:val="00677B9F"/>
    <w:rPr>
      <w:i/>
    </w:rPr>
  </w:style>
  <w:style w:type="paragraph" w:styleId="Caption">
    <w:name w:val="caption"/>
    <w:basedOn w:val="BodyText"/>
    <w:next w:val="Normal"/>
    <w:qFormat/>
    <w:rsid w:val="00677B9F"/>
    <w:pPr>
      <w:framePr w:w="2268" w:hSpace="181" w:vSpace="181" w:wrap="around" w:vAnchor="text" w:hAnchor="page" w:x="1135" w:y="285" w:anchorLock="1"/>
    </w:pPr>
    <w:rPr>
      <w:i/>
    </w:rPr>
  </w:style>
  <w:style w:type="paragraph" w:customStyle="1" w:styleId="MiniTOCTitle">
    <w:name w:val="MiniTOCTitle"/>
    <w:basedOn w:val="Heading4"/>
    <w:rsid w:val="00677B9F"/>
    <w:pPr>
      <w:spacing w:before="240"/>
      <w:outlineLvl w:val="9"/>
    </w:pPr>
    <w:rPr>
      <w:noProof/>
      <w:sz w:val="24"/>
    </w:rPr>
  </w:style>
  <w:style w:type="paragraph" w:customStyle="1" w:styleId="MiniTOCItem">
    <w:name w:val="MiniTOCItem"/>
    <w:basedOn w:val="ListBullet"/>
    <w:rsid w:val="00677B9F"/>
    <w:pPr>
      <w:numPr>
        <w:numId w:val="0"/>
      </w:numPr>
      <w:tabs>
        <w:tab w:val="right" w:leader="dot" w:pos="6521"/>
      </w:tabs>
      <w:spacing w:before="0" w:after="0"/>
    </w:pPr>
  </w:style>
  <w:style w:type="paragraph" w:customStyle="1" w:styleId="TOFTitle">
    <w:name w:val="TOFTitle"/>
    <w:basedOn w:val="TOCTitle"/>
    <w:rsid w:val="00677B9F"/>
  </w:style>
  <w:style w:type="paragraph" w:styleId="TableofFigures">
    <w:name w:val="table of figures"/>
    <w:basedOn w:val="Normal"/>
    <w:next w:val="Normal"/>
    <w:semiHidden/>
    <w:rsid w:val="00677B9F"/>
    <w:pPr>
      <w:tabs>
        <w:tab w:val="right" w:leader="dot" w:pos="9072"/>
      </w:tabs>
      <w:ind w:left="970" w:hanging="403"/>
    </w:pPr>
    <w:rPr>
      <w:rFonts w:ascii="Times New Roman" w:hAnsi="Times New Roman"/>
      <w:b/>
    </w:rPr>
  </w:style>
  <w:style w:type="paragraph" w:styleId="ListNumber">
    <w:name w:val="List Number"/>
    <w:basedOn w:val="List"/>
    <w:rsid w:val="00677B9F"/>
    <w:pPr>
      <w:numPr>
        <w:numId w:val="10"/>
      </w:numPr>
    </w:pPr>
  </w:style>
  <w:style w:type="character" w:customStyle="1" w:styleId="WingdingSymbols">
    <w:name w:val="Wingding Symbols"/>
    <w:rsid w:val="00677B9F"/>
    <w:rPr>
      <w:rFonts w:ascii="Wingdings" w:hAnsi="Wingdings"/>
    </w:rPr>
  </w:style>
  <w:style w:type="paragraph" w:customStyle="1" w:styleId="TableHeading">
    <w:name w:val="Table Heading"/>
    <w:basedOn w:val="HeadingBase"/>
    <w:rsid w:val="00677B9F"/>
    <w:pPr>
      <w:keepLines/>
      <w:pBdr>
        <w:bottom w:val="single" w:sz="6" w:space="1" w:color="918585"/>
      </w:pBdr>
      <w:spacing w:before="240"/>
    </w:pPr>
  </w:style>
  <w:style w:type="character" w:customStyle="1" w:styleId="HotSpot">
    <w:name w:val="HotSpot"/>
    <w:rsid w:val="00677B9F"/>
    <w:rPr>
      <w:color w:val="0033CC"/>
      <w:u w:val="none"/>
    </w:rPr>
  </w:style>
  <w:style w:type="paragraph" w:customStyle="1" w:styleId="BodyTextRight">
    <w:name w:val="Body Text Right"/>
    <w:basedOn w:val="BodyText"/>
    <w:rsid w:val="00677B9F"/>
    <w:pPr>
      <w:spacing w:before="0" w:after="0"/>
      <w:jc w:val="right"/>
    </w:pPr>
  </w:style>
  <w:style w:type="paragraph" w:styleId="Index3">
    <w:name w:val="index 3"/>
    <w:basedOn w:val="ListNumber2"/>
    <w:next w:val="Normal"/>
    <w:semiHidden/>
    <w:rsid w:val="00677B9F"/>
    <w:pPr>
      <w:numPr>
        <w:numId w:val="0"/>
      </w:numPr>
      <w:tabs>
        <w:tab w:val="right" w:leader="dot" w:pos="4176"/>
      </w:tabs>
    </w:pPr>
  </w:style>
  <w:style w:type="paragraph" w:styleId="ListNumber2">
    <w:name w:val="List Number 2"/>
    <w:basedOn w:val="List2"/>
    <w:rsid w:val="00677B9F"/>
    <w:pPr>
      <w:numPr>
        <w:numId w:val="9"/>
      </w:numPr>
      <w:tabs>
        <w:tab w:val="clear" w:pos="1060"/>
      </w:tabs>
    </w:pPr>
  </w:style>
  <w:style w:type="paragraph" w:customStyle="1" w:styleId="MarginNote">
    <w:name w:val="Margin Note"/>
    <w:basedOn w:val="BodyText"/>
    <w:rsid w:val="00677B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7B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7B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7B9F"/>
    <w:rPr>
      <w:sz w:val="32"/>
    </w:rPr>
  </w:style>
  <w:style w:type="paragraph" w:customStyle="1" w:styleId="HeadingProcedure">
    <w:name w:val="Heading Procedure"/>
    <w:basedOn w:val="HeadingBase"/>
    <w:next w:val="Normal"/>
    <w:rsid w:val="00677B9F"/>
    <w:pPr>
      <w:tabs>
        <w:tab w:val="left" w:pos="0"/>
      </w:tabs>
      <w:spacing w:before="120" w:after="60"/>
    </w:pPr>
    <w:rPr>
      <w:i/>
      <w:color w:val="918585"/>
      <w:sz w:val="22"/>
    </w:rPr>
  </w:style>
  <w:style w:type="paragraph" w:customStyle="1" w:styleId="TableBodyText">
    <w:name w:val="Table Body Text"/>
    <w:basedOn w:val="BodyText"/>
    <w:rsid w:val="00677B9F"/>
    <w:pPr>
      <w:spacing w:before="60" w:after="60"/>
    </w:pPr>
  </w:style>
  <w:style w:type="paragraph" w:styleId="ListContinue">
    <w:name w:val="List Continue"/>
    <w:basedOn w:val="List"/>
    <w:rsid w:val="00677B9F"/>
    <w:pPr>
      <w:ind w:firstLine="0"/>
    </w:pPr>
  </w:style>
  <w:style w:type="paragraph" w:customStyle="1" w:styleId="ListNote">
    <w:name w:val="List Note"/>
    <w:basedOn w:val="List"/>
    <w:rsid w:val="00677B9F"/>
    <w:pPr>
      <w:pBdr>
        <w:top w:val="single" w:sz="6" w:space="2" w:color="918585"/>
        <w:bottom w:val="single" w:sz="6" w:space="2" w:color="918585"/>
      </w:pBdr>
      <w:tabs>
        <w:tab w:val="left" w:pos="1021"/>
      </w:tabs>
      <w:ind w:firstLine="0"/>
    </w:pPr>
  </w:style>
  <w:style w:type="paragraph" w:customStyle="1" w:styleId="Warning">
    <w:name w:val="Warning"/>
    <w:basedOn w:val="BodyText"/>
    <w:rsid w:val="00677B9F"/>
    <w:pPr>
      <w:shd w:val="clear" w:color="auto" w:fill="D9D9D9"/>
      <w:tabs>
        <w:tab w:val="left" w:pos="992"/>
      </w:tabs>
      <w:ind w:left="119" w:right="119"/>
    </w:pPr>
    <w:rPr>
      <w:sz w:val="20"/>
    </w:rPr>
  </w:style>
  <w:style w:type="paragraph" w:customStyle="1" w:styleId="MarginIcons">
    <w:name w:val="Margin Icons"/>
    <w:basedOn w:val="BodyText"/>
    <w:rsid w:val="00677B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7B9F"/>
    <w:rPr>
      <w:rFonts w:ascii="Courier New" w:hAnsi="Courier New"/>
    </w:rPr>
  </w:style>
  <w:style w:type="paragraph" w:customStyle="1" w:styleId="NoteBullet">
    <w:name w:val="Note Bullet"/>
    <w:basedOn w:val="Note"/>
    <w:rsid w:val="00677B9F"/>
    <w:pPr>
      <w:tabs>
        <w:tab w:val="clear" w:pos="680"/>
      </w:tabs>
      <w:spacing w:before="60" w:after="60"/>
    </w:pPr>
  </w:style>
  <w:style w:type="paragraph" w:customStyle="1" w:styleId="SubHeading2">
    <w:name w:val="SubHeading2"/>
    <w:basedOn w:val="HeadingBase"/>
    <w:rsid w:val="00677B9F"/>
    <w:pPr>
      <w:spacing w:before="240" w:after="60"/>
    </w:pPr>
    <w:rPr>
      <w:sz w:val="20"/>
    </w:rPr>
  </w:style>
  <w:style w:type="paragraph" w:customStyle="1" w:styleId="SubHeading1">
    <w:name w:val="SubHeading1"/>
    <w:basedOn w:val="HeadingBase"/>
    <w:rsid w:val="00677B9F"/>
    <w:pPr>
      <w:spacing w:before="240" w:after="60"/>
    </w:pPr>
    <w:rPr>
      <w:color w:val="918585"/>
      <w:sz w:val="22"/>
    </w:rPr>
  </w:style>
  <w:style w:type="paragraph" w:customStyle="1" w:styleId="SideHeading">
    <w:name w:val="Side Heading"/>
    <w:basedOn w:val="HeadingBase"/>
    <w:rsid w:val="00677B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7B9F"/>
    <w:pPr>
      <w:tabs>
        <w:tab w:val="num" w:pos="360"/>
      </w:tabs>
    </w:pPr>
  </w:style>
  <w:style w:type="paragraph" w:styleId="PlainText">
    <w:name w:val="Plain Text"/>
    <w:basedOn w:val="Normal"/>
    <w:link w:val="PlainTextChar"/>
    <w:rsid w:val="00677B9F"/>
    <w:rPr>
      <w:sz w:val="20"/>
    </w:rPr>
  </w:style>
  <w:style w:type="character" w:customStyle="1" w:styleId="PlainTextChar">
    <w:name w:val="Plain Text Char"/>
    <w:basedOn w:val="DefaultParagraphFont"/>
    <w:link w:val="PlainText"/>
    <w:rsid w:val="00677B9F"/>
    <w:rPr>
      <w:rFonts w:ascii="Courier New" w:eastAsia="Times New Roman" w:hAnsi="Courier New" w:cs="Times New Roman"/>
      <w:sz w:val="20"/>
      <w:szCs w:val="20"/>
      <w:lang w:eastAsia="en-US"/>
    </w:rPr>
  </w:style>
  <w:style w:type="character" w:customStyle="1" w:styleId="MenuOption">
    <w:name w:val="Menu Option"/>
    <w:basedOn w:val="DefaultParagraphFont"/>
    <w:rsid w:val="00677B9F"/>
    <w:rPr>
      <w:b/>
      <w:smallCaps/>
    </w:rPr>
  </w:style>
  <w:style w:type="paragraph" w:customStyle="1" w:styleId="TableListNumber">
    <w:name w:val="Table List Number"/>
    <w:basedOn w:val="ListNumber"/>
    <w:rsid w:val="00677B9F"/>
    <w:pPr>
      <w:numPr>
        <w:numId w:val="0"/>
      </w:numPr>
    </w:pPr>
  </w:style>
  <w:style w:type="paragraph" w:styleId="TOC4">
    <w:name w:val="toc 4"/>
    <w:basedOn w:val="TOCBase"/>
    <w:next w:val="Normal"/>
    <w:semiHidden/>
    <w:rsid w:val="00677B9F"/>
    <w:pPr>
      <w:tabs>
        <w:tab w:val="right" w:leader="dot" w:pos="9071"/>
      </w:tabs>
      <w:ind w:left="1701"/>
    </w:pPr>
  </w:style>
  <w:style w:type="paragraph" w:customStyle="1" w:styleId="ListAlpha">
    <w:name w:val="List Alpha"/>
    <w:basedOn w:val="List"/>
    <w:rsid w:val="00677B9F"/>
    <w:pPr>
      <w:numPr>
        <w:numId w:val="8"/>
      </w:numPr>
    </w:pPr>
  </w:style>
  <w:style w:type="paragraph" w:customStyle="1" w:styleId="ListAlpha2">
    <w:name w:val="List Alpha 2"/>
    <w:basedOn w:val="List2"/>
    <w:rsid w:val="00677B9F"/>
    <w:pPr>
      <w:numPr>
        <w:numId w:val="7"/>
      </w:numPr>
    </w:pPr>
  </w:style>
  <w:style w:type="paragraph" w:styleId="List2">
    <w:name w:val="List 2"/>
    <w:basedOn w:val="BodyText"/>
    <w:rsid w:val="00677B9F"/>
    <w:pPr>
      <w:tabs>
        <w:tab w:val="left" w:pos="680"/>
      </w:tabs>
      <w:spacing w:before="60" w:after="60"/>
      <w:ind w:left="680" w:hanging="340"/>
    </w:pPr>
  </w:style>
  <w:style w:type="paragraph" w:styleId="List3">
    <w:name w:val="List 3"/>
    <w:basedOn w:val="BodyText"/>
    <w:rsid w:val="00677B9F"/>
    <w:pPr>
      <w:tabs>
        <w:tab w:val="left" w:pos="1021"/>
      </w:tabs>
      <w:spacing w:before="60" w:after="60"/>
      <w:ind w:left="1020" w:hanging="340"/>
    </w:pPr>
  </w:style>
  <w:style w:type="paragraph" w:styleId="List4">
    <w:name w:val="List 4"/>
    <w:basedOn w:val="BodyText"/>
    <w:rsid w:val="00677B9F"/>
    <w:pPr>
      <w:tabs>
        <w:tab w:val="left" w:pos="1361"/>
      </w:tabs>
      <w:spacing w:before="60" w:after="60"/>
      <w:ind w:left="1361" w:hanging="340"/>
    </w:pPr>
  </w:style>
  <w:style w:type="paragraph" w:styleId="List5">
    <w:name w:val="List 5"/>
    <w:basedOn w:val="BodyText"/>
    <w:rsid w:val="00677B9F"/>
    <w:pPr>
      <w:tabs>
        <w:tab w:val="left" w:pos="1701"/>
      </w:tabs>
      <w:spacing w:before="60" w:after="60"/>
      <w:ind w:left="1701" w:hanging="340"/>
    </w:pPr>
  </w:style>
  <w:style w:type="paragraph" w:styleId="ListBullet3">
    <w:name w:val="List Bullet 3"/>
    <w:basedOn w:val="List3"/>
    <w:rsid w:val="00677B9F"/>
    <w:pPr>
      <w:numPr>
        <w:numId w:val="14"/>
      </w:numPr>
      <w:tabs>
        <w:tab w:val="clear" w:pos="1021"/>
      </w:tabs>
      <w:ind w:left="1037" w:hanging="357"/>
    </w:pPr>
  </w:style>
  <w:style w:type="paragraph" w:styleId="ListBullet4">
    <w:name w:val="List Bullet 4"/>
    <w:basedOn w:val="List4"/>
    <w:rsid w:val="00677B9F"/>
    <w:pPr>
      <w:numPr>
        <w:numId w:val="2"/>
      </w:numPr>
      <w:tabs>
        <w:tab w:val="clear" w:pos="1361"/>
      </w:tabs>
    </w:pPr>
  </w:style>
  <w:style w:type="paragraph" w:styleId="ListBullet5">
    <w:name w:val="List Bullet 5"/>
    <w:basedOn w:val="List5"/>
    <w:rsid w:val="00677B9F"/>
    <w:pPr>
      <w:numPr>
        <w:numId w:val="3"/>
      </w:numPr>
    </w:pPr>
  </w:style>
  <w:style w:type="paragraph" w:styleId="ListContinue2">
    <w:name w:val="List Continue 2"/>
    <w:basedOn w:val="List2"/>
    <w:rsid w:val="00677B9F"/>
    <w:pPr>
      <w:ind w:firstLine="0"/>
    </w:pPr>
  </w:style>
  <w:style w:type="paragraph" w:styleId="ListContinue3">
    <w:name w:val="List Continue 3"/>
    <w:basedOn w:val="List3"/>
    <w:rsid w:val="00677B9F"/>
    <w:pPr>
      <w:ind w:left="1021" w:firstLine="0"/>
    </w:pPr>
  </w:style>
  <w:style w:type="paragraph" w:styleId="ListContinue4">
    <w:name w:val="List Continue 4"/>
    <w:basedOn w:val="List4"/>
    <w:rsid w:val="00677B9F"/>
    <w:pPr>
      <w:ind w:firstLine="0"/>
    </w:pPr>
  </w:style>
  <w:style w:type="paragraph" w:styleId="ListContinue5">
    <w:name w:val="List Continue 5"/>
    <w:basedOn w:val="List5"/>
    <w:rsid w:val="00677B9F"/>
    <w:pPr>
      <w:ind w:firstLine="0"/>
    </w:pPr>
  </w:style>
  <w:style w:type="paragraph" w:styleId="ListNumber3">
    <w:name w:val="List Number 3"/>
    <w:basedOn w:val="List3"/>
    <w:rsid w:val="00677B9F"/>
    <w:pPr>
      <w:numPr>
        <w:numId w:val="4"/>
      </w:numPr>
    </w:pPr>
  </w:style>
  <w:style w:type="paragraph" w:styleId="ListNumber4">
    <w:name w:val="List Number 4"/>
    <w:basedOn w:val="List4"/>
    <w:rsid w:val="00677B9F"/>
    <w:pPr>
      <w:numPr>
        <w:numId w:val="5"/>
      </w:numPr>
    </w:pPr>
  </w:style>
  <w:style w:type="paragraph" w:styleId="ListNumber5">
    <w:name w:val="List Number 5"/>
    <w:basedOn w:val="List5"/>
    <w:rsid w:val="00677B9F"/>
    <w:pPr>
      <w:numPr>
        <w:numId w:val="6"/>
      </w:numPr>
    </w:pPr>
  </w:style>
  <w:style w:type="paragraph" w:styleId="BlockText">
    <w:name w:val="Block Text"/>
    <w:basedOn w:val="Normal"/>
    <w:rsid w:val="00677B9F"/>
    <w:pPr>
      <w:spacing w:after="120"/>
      <w:ind w:left="1440" w:right="1440"/>
    </w:pPr>
  </w:style>
  <w:style w:type="character" w:customStyle="1" w:styleId="Subscript">
    <w:name w:val="Subscript"/>
    <w:basedOn w:val="DefaultParagraphFont"/>
    <w:rsid w:val="00677B9F"/>
    <w:rPr>
      <w:sz w:val="16"/>
      <w:vertAlign w:val="subscript"/>
    </w:rPr>
  </w:style>
  <w:style w:type="character" w:customStyle="1" w:styleId="Superscript">
    <w:name w:val="Superscript"/>
    <w:basedOn w:val="DefaultParagraphFont"/>
    <w:rsid w:val="00677B9F"/>
    <w:rPr>
      <w:sz w:val="16"/>
      <w:vertAlign w:val="superscript"/>
    </w:rPr>
  </w:style>
  <w:style w:type="character" w:customStyle="1" w:styleId="Symbols">
    <w:name w:val="Symbols"/>
    <w:basedOn w:val="DefaultParagraphFont"/>
    <w:rsid w:val="00677B9F"/>
    <w:rPr>
      <w:rFonts w:ascii="Symbol" w:hAnsi="Symbol"/>
    </w:rPr>
  </w:style>
  <w:style w:type="character" w:customStyle="1" w:styleId="MenuOptions">
    <w:name w:val="Menu Options"/>
    <w:basedOn w:val="DefaultParagraphFont"/>
    <w:rsid w:val="00677B9F"/>
    <w:rPr>
      <w:rFonts w:ascii="Arial Narrow" w:hAnsi="Arial Narrow"/>
      <w:smallCaps/>
    </w:rPr>
  </w:style>
  <w:style w:type="character" w:customStyle="1" w:styleId="Buttons">
    <w:name w:val="Buttons"/>
    <w:basedOn w:val="DefaultParagraphFont"/>
    <w:rsid w:val="00677B9F"/>
    <w:rPr>
      <w:b/>
    </w:rPr>
  </w:style>
  <w:style w:type="character" w:customStyle="1" w:styleId="Underlined">
    <w:name w:val="Underlined"/>
    <w:basedOn w:val="DefaultParagraphFont"/>
    <w:rsid w:val="00677B9F"/>
    <w:rPr>
      <w:u w:val="single"/>
    </w:rPr>
  </w:style>
  <w:style w:type="paragraph" w:customStyle="1" w:styleId="TableBodyTextRight">
    <w:name w:val="Table Body Text Right"/>
    <w:basedOn w:val="TableBodyText"/>
    <w:rsid w:val="00677B9F"/>
    <w:pPr>
      <w:widowControl w:val="0"/>
      <w:autoSpaceDE w:val="0"/>
      <w:autoSpaceDN w:val="0"/>
      <w:adjustRightInd w:val="0"/>
      <w:jc w:val="right"/>
    </w:pPr>
    <w:rPr>
      <w:rFonts w:cs="Arial"/>
      <w:szCs w:val="18"/>
    </w:rPr>
  </w:style>
  <w:style w:type="paragraph" w:customStyle="1" w:styleId="CopyrightText">
    <w:name w:val="Copyright Text"/>
    <w:basedOn w:val="BodyText"/>
    <w:rsid w:val="00677B9F"/>
    <w:rPr>
      <w:sz w:val="18"/>
    </w:rPr>
  </w:style>
  <w:style w:type="paragraph" w:customStyle="1" w:styleId="BodySmallRight">
    <w:name w:val="Body Small Right"/>
    <w:basedOn w:val="BodyTextRight"/>
    <w:rsid w:val="00677B9F"/>
    <w:rPr>
      <w:sz w:val="18"/>
      <w:szCs w:val="18"/>
    </w:rPr>
  </w:style>
  <w:style w:type="paragraph" w:customStyle="1" w:styleId="MarginEdition">
    <w:name w:val="Margin Edition"/>
    <w:basedOn w:val="MarginNote"/>
    <w:rsid w:val="00677B9F"/>
    <w:pPr>
      <w:spacing w:before="0" w:after="0"/>
    </w:pPr>
    <w:rPr>
      <w:rFonts w:ascii="Times New Roman" w:hAnsi="Times New Roman"/>
      <w:color w:val="999999"/>
    </w:rPr>
  </w:style>
  <w:style w:type="paragraph" w:customStyle="1" w:styleId="Spacer">
    <w:name w:val="Spacer"/>
    <w:basedOn w:val="Normal"/>
    <w:rsid w:val="00677B9F"/>
    <w:rPr>
      <w:sz w:val="2"/>
      <w:szCs w:val="2"/>
    </w:rPr>
  </w:style>
  <w:style w:type="character" w:customStyle="1" w:styleId="Small">
    <w:name w:val="Small"/>
    <w:basedOn w:val="DefaultParagraphFont"/>
    <w:rsid w:val="00677B9F"/>
    <w:rPr>
      <w:sz w:val="16"/>
    </w:rPr>
  </w:style>
  <w:style w:type="paragraph" w:customStyle="1" w:styleId="WideTable">
    <w:name w:val="Wide Table"/>
    <w:basedOn w:val="Normal"/>
    <w:rsid w:val="00677B9F"/>
    <w:pPr>
      <w:ind w:left="-1418"/>
    </w:pPr>
    <w:rPr>
      <w:sz w:val="2"/>
      <w:szCs w:val="2"/>
    </w:rPr>
  </w:style>
  <w:style w:type="character" w:styleId="PageNumber">
    <w:name w:val="page number"/>
    <w:basedOn w:val="DefaultParagraphFont"/>
    <w:rsid w:val="00677B9F"/>
  </w:style>
  <w:style w:type="paragraph" w:styleId="Quote">
    <w:name w:val="Quote"/>
    <w:basedOn w:val="Heading1"/>
    <w:link w:val="QuoteChar"/>
    <w:qFormat/>
    <w:rsid w:val="00677B9F"/>
    <w:rPr>
      <w:b w:val="0"/>
      <w:sz w:val="72"/>
      <w:szCs w:val="72"/>
      <w:lang w:val="en-NZ"/>
    </w:rPr>
  </w:style>
  <w:style w:type="character" w:customStyle="1" w:styleId="QuoteChar">
    <w:name w:val="Quote Char"/>
    <w:basedOn w:val="DefaultParagraphFont"/>
    <w:link w:val="Quote"/>
    <w:rsid w:val="00677B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7B9F"/>
    <w:pPr>
      <w:pageBreakBefore/>
    </w:pPr>
  </w:style>
  <w:style w:type="paragraph" w:customStyle="1" w:styleId="Border">
    <w:name w:val="Border"/>
    <w:basedOn w:val="Normal"/>
    <w:qFormat/>
    <w:rsid w:val="00677B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7B9F"/>
    <w:rPr>
      <w:b/>
      <w:bCs/>
      <w:i/>
      <w:iCs/>
      <w:color w:val="auto"/>
    </w:rPr>
  </w:style>
  <w:style w:type="paragraph" w:styleId="IntenseQuote">
    <w:name w:val="Intense Quote"/>
    <w:basedOn w:val="Normal"/>
    <w:next w:val="Normal"/>
    <w:link w:val="IntenseQuoteChar"/>
    <w:uiPriority w:val="30"/>
    <w:qFormat/>
    <w:rsid w:val="00677B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7B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7B9F"/>
    <w:rPr>
      <w:smallCaps/>
      <w:color w:val="auto"/>
      <w:u w:val="single"/>
    </w:rPr>
  </w:style>
  <w:style w:type="character" w:styleId="IntenseReference">
    <w:name w:val="Intense Reference"/>
    <w:basedOn w:val="DefaultParagraphFont"/>
    <w:uiPriority w:val="32"/>
    <w:qFormat/>
    <w:rsid w:val="00677B9F"/>
    <w:rPr>
      <w:b/>
      <w:bCs/>
      <w:smallCaps/>
      <w:color w:val="auto"/>
      <w:spacing w:val="5"/>
      <w:u w:val="single"/>
    </w:rPr>
  </w:style>
  <w:style w:type="paragraph" w:customStyle="1" w:styleId="2ColumnHeading">
    <w:name w:val="2Column Heading"/>
    <w:basedOn w:val="BodyText"/>
    <w:qFormat/>
    <w:rsid w:val="00677B9F"/>
    <w:pPr>
      <w:spacing w:after="60"/>
      <w:ind w:left="-2268"/>
    </w:pPr>
    <w:rPr>
      <w:b/>
    </w:rPr>
  </w:style>
  <w:style w:type="paragraph" w:customStyle="1" w:styleId="Heading1TOC">
    <w:name w:val="Heading1 TOC"/>
    <w:basedOn w:val="Normal"/>
    <w:qFormat/>
    <w:rsid w:val="00677B9F"/>
    <w:pPr>
      <w:spacing w:before="240" w:after="120"/>
    </w:pPr>
    <w:rPr>
      <w:rFonts w:ascii="Times New Roman" w:hAnsi="Times New Roman"/>
      <w:b/>
      <w:sz w:val="32"/>
    </w:rPr>
  </w:style>
  <w:style w:type="paragraph" w:customStyle="1" w:styleId="Heading2TOC">
    <w:name w:val="Heading2 TOC"/>
    <w:basedOn w:val="Normal"/>
    <w:qFormat/>
    <w:rsid w:val="00677B9F"/>
    <w:pPr>
      <w:spacing w:before="240" w:after="60"/>
    </w:pPr>
    <w:rPr>
      <w:rFonts w:ascii="Times New Roman" w:hAnsi="Times New Roman"/>
      <w:b/>
      <w:sz w:val="28"/>
    </w:rPr>
  </w:style>
  <w:style w:type="character" w:customStyle="1" w:styleId="Underline">
    <w:name w:val="Underline"/>
    <w:basedOn w:val="DefaultParagraphFont"/>
    <w:qFormat/>
    <w:rsid w:val="00677B9F"/>
    <w:rPr>
      <w:u w:val="single"/>
    </w:rPr>
  </w:style>
  <w:style w:type="character" w:customStyle="1" w:styleId="BoldandItalics">
    <w:name w:val="Bold and Italics"/>
    <w:qFormat/>
    <w:rsid w:val="00677B9F"/>
    <w:rPr>
      <w:b/>
      <w:i/>
      <w:u w:val="none"/>
    </w:rPr>
  </w:style>
  <w:style w:type="paragraph" w:styleId="BalloonText">
    <w:name w:val="Balloon Text"/>
    <w:basedOn w:val="Normal"/>
    <w:link w:val="BalloonTextChar"/>
    <w:rsid w:val="00677B9F"/>
    <w:rPr>
      <w:rFonts w:ascii="Tahoma" w:hAnsi="Tahoma" w:cs="Tahoma"/>
      <w:sz w:val="16"/>
      <w:szCs w:val="16"/>
    </w:rPr>
  </w:style>
  <w:style w:type="character" w:customStyle="1" w:styleId="BalloonTextChar">
    <w:name w:val="Balloon Text Char"/>
    <w:basedOn w:val="DefaultParagraphFont"/>
    <w:link w:val="BalloonText"/>
    <w:rsid w:val="00677B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7B9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77B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7B9F"/>
    <w:rPr>
      <w:b/>
      <w:color w:val="660033"/>
      <w:spacing w:val="0"/>
    </w:rPr>
  </w:style>
  <w:style w:type="paragraph" w:customStyle="1" w:styleId="Nameditemlist">
    <w:name w:val="Named item list"/>
    <w:basedOn w:val="BodyText"/>
    <w:qFormat/>
    <w:rsid w:val="00677B9F"/>
    <w:pPr>
      <w:tabs>
        <w:tab w:val="left" w:pos="2835"/>
      </w:tabs>
      <w:ind w:left="2835" w:hanging="2835"/>
    </w:pPr>
  </w:style>
  <w:style w:type="paragraph" w:customStyle="1" w:styleId="BodyTextnopadding">
    <w:name w:val="Body Text no padding"/>
    <w:basedOn w:val="BodyText"/>
    <w:qFormat/>
    <w:rsid w:val="00677B9F"/>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637</Words>
  <Characters>4258</Characters>
  <Application>Microsoft Office Word</Application>
  <DocSecurity>0</DocSecurity>
  <Lines>202</Lines>
  <Paragraphs>96</Paragraphs>
  <ScaleCrop>false</ScaleCrop>
  <Company>Author-it Software Corporation Ltd.</Company>
  <LinksUpToDate>false</LinksUpToDate>
  <CharactersWithSpaces>4813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MSS015014 Develop response to sustainability related regulation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2018-10-22T06:49:00Z</dcterms:created>
  <dcterms:modified xsi:type="dcterms:W3CDTF">2018-10-22T06:49:00Z</dcterms:modified>
</cp:coreProperties>
</file>