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18F1" w:rsidP="00F118F1">
      <w:pPr>
        <w:pStyle w:val="Title"/>
      </w:pPr>
      <w:r>
        <w:fldChar w:fldCharType="begin"/>
      </w:r>
      <w:r>
        <w:instrText xml:space="preserve"> TITLE   \* MERGEFORMAT </w:instrText>
      </w:r>
      <w:r>
        <w:fldChar w:fldCharType="separate"/>
      </w:r>
      <w:r>
        <w:t>MSS015012 Conduct an emissions audit</w:t>
      </w:r>
      <w:r>
        <w:fldChar w:fldCharType="end"/>
      </w:r>
    </w:p>
    <w:p w:rsidR="00F118F1" w:rsidP="00F118F1">
      <w:pPr>
        <w:pStyle w:val="Version"/>
        <w:sectPr w:rsidSect="00C243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43B0" w:rsidP="00C243B0">
      <w:pPr>
        <w:pStyle w:val="SuperHeading"/>
      </w:pPr>
      <w:r w:rsidRPr="00C243B0">
        <w:t>MSS015012 Conduct an emissions audit</w:t>
      </w:r>
    </w:p>
    <w:p w:rsidR="00000000" w:rsidRPr="00C243B0" w:rsidP="00C243B0">
      <w:pPr>
        <w:pStyle w:val="Heading1"/>
      </w:pPr>
      <w:bookmarkStart w:id="1" w:name="O_923134"/>
      <w:bookmarkEnd w:id="1"/>
      <w:r w:rsidRPr="00C243B0">
        <w:t>Modification History</w:t>
      </w:r>
    </w:p>
    <w:p w:rsidR="00000000" w:rsidRPr="00C243B0" w:rsidP="00C243B0">
      <w:pPr>
        <w:pStyle w:val="BodyText"/>
      </w:pPr>
      <w:r w:rsidRPr="00C243B0">
        <w:t xml:space="preserve">Release 1. Supersedes and is equivalent to MSS015012A Conduct an emissions audit. </w:t>
      </w:r>
    </w:p>
    <w:p w:rsidR="00000000" w:rsidRPr="00C243B0" w:rsidP="00C243B0">
      <w:pPr>
        <w:pStyle w:val="AllowPageBreak"/>
      </w:pPr>
    </w:p>
    <w:p w:rsidR="00000000" w:rsidRPr="00C243B0" w:rsidP="00C243B0">
      <w:pPr>
        <w:pStyle w:val="Heading1"/>
      </w:pPr>
      <w:bookmarkStart w:id="2" w:name="O_923142"/>
      <w:bookmarkEnd w:id="2"/>
      <w:r w:rsidRPr="00C243B0">
        <w:t>Application</w:t>
      </w:r>
    </w:p>
    <w:p w:rsidR="00000000" w:rsidRPr="00C243B0" w:rsidP="00C243B0">
      <w:pPr>
        <w:pStyle w:val="BodyText"/>
      </w:pPr>
      <w:r w:rsidRPr="00C243B0">
        <w:t>This unit of competency covers conducting an audit of emissions related to product or process in an organisation, or part o</w:t>
      </w:r>
      <w:r w:rsidRPr="00C243B0">
        <w:t>r all of the value chain.</w:t>
      </w:r>
    </w:p>
    <w:p w:rsidR="00000000" w:rsidRPr="00C243B0" w:rsidP="00C243B0">
      <w:pPr>
        <w:pStyle w:val="BodyText"/>
      </w:pPr>
    </w:p>
    <w:p w:rsidR="00000000" w:rsidRPr="00C243B0" w:rsidP="00C243B0">
      <w:pPr>
        <w:pStyle w:val="BodyText"/>
      </w:pPr>
      <w:r w:rsidRPr="00C243B0">
        <w:t>This unit applies to auditing emissions inside organisations and their value chains (e.g. supplier of goods or services or customer). The unit has been developed with manufacturing operations as a focus. However, because of the r</w:t>
      </w:r>
      <w:r w:rsidRPr="00C243B0">
        <w:t xml:space="preserve">ange of organisations in a typical manufacturing value chain it may also be applied to other types of organisations. </w:t>
      </w:r>
    </w:p>
    <w:p w:rsidR="00000000" w:rsidRPr="00C243B0" w:rsidP="00C243B0">
      <w:pPr>
        <w:pStyle w:val="BodyText"/>
      </w:pPr>
    </w:p>
    <w:p w:rsidR="00000000" w:rsidRPr="00C243B0" w:rsidP="00C243B0">
      <w:pPr>
        <w:pStyle w:val="BodyText"/>
      </w:pPr>
      <w:r w:rsidRPr="00C243B0">
        <w:t>The audit may be conducted to assist in regulatory compliance or as part of a strategy to improve the sustainability of manufacturing ope</w:t>
      </w:r>
      <w:r w:rsidRPr="00C243B0">
        <w:t>rations.</w:t>
      </w:r>
    </w:p>
    <w:p w:rsidR="00000000" w:rsidRPr="00C243B0" w:rsidP="00C243B0">
      <w:pPr>
        <w:pStyle w:val="BodyText"/>
      </w:pPr>
    </w:p>
    <w:p w:rsidR="00000000" w:rsidRPr="00C243B0" w:rsidP="00C243B0">
      <w:pPr>
        <w:pStyle w:val="BodyText"/>
      </w:pPr>
      <w:r w:rsidRPr="00C243B0">
        <w:t>The emphasis in the unit is on informing decision making in regards to emissions using material balancing techniques. While the unit does not preclude actual measurement of emissions it does not cover the measurement/testing or other technical sk</w:t>
      </w:r>
      <w:r w:rsidRPr="00C243B0">
        <w:t>ills to undertake physical measurement of emissions or environmental impact of the emissions. However, there is a requirement to present and organise data. The complexity of this requirement will vary according to the type and scale of the organisation’s p</w:t>
      </w:r>
      <w:r w:rsidRPr="00C243B0">
        <w:t>rocesses.</w:t>
      </w:r>
    </w:p>
    <w:p w:rsidR="00000000" w:rsidRPr="00C243B0" w:rsidP="00C243B0">
      <w:pPr>
        <w:pStyle w:val="BodyText"/>
      </w:pPr>
    </w:p>
    <w:p w:rsidR="00000000" w:rsidRPr="00C243B0" w:rsidP="00C243B0">
      <w:pPr>
        <w:pStyle w:val="BodyText"/>
      </w:pPr>
      <w:r w:rsidRPr="00C243B0">
        <w:t>A manager or technical specialist who has a major responsibility for sustainability as part of a broader work role would typically undertake this, or sustainability may be their primary work responsibility. The manager or technical specialist ma</w:t>
      </w:r>
      <w:r w:rsidRPr="00C243B0">
        <w:t>y undertake this alone or as part of a team.</w:t>
      </w:r>
    </w:p>
    <w:p w:rsidR="00000000" w:rsidRPr="00C243B0" w:rsidP="00C243B0">
      <w:pPr>
        <w:pStyle w:val="BodyText"/>
      </w:pPr>
    </w:p>
    <w:p w:rsidR="00000000" w:rsidRPr="00C243B0" w:rsidP="00C243B0">
      <w:pPr>
        <w:pStyle w:val="BodyText"/>
      </w:pPr>
      <w:r w:rsidRPr="00C243B0">
        <w:t>No licensing, legislative or certification requirements apply to this unit at the time of publication.</w:t>
      </w:r>
    </w:p>
    <w:p w:rsidR="00000000" w:rsidRPr="00C243B0" w:rsidP="00C243B0">
      <w:pPr>
        <w:pStyle w:val="AllowPageBreak"/>
      </w:pPr>
    </w:p>
    <w:p w:rsidR="00000000" w:rsidRPr="00C243B0" w:rsidP="00C243B0">
      <w:pPr>
        <w:pStyle w:val="Heading1"/>
      </w:pPr>
      <w:bookmarkStart w:id="3" w:name="O_923141"/>
      <w:bookmarkEnd w:id="3"/>
      <w:r w:rsidRPr="00C243B0">
        <w:t>Pre-requisite Unit</w:t>
      </w:r>
    </w:p>
    <w:p w:rsidR="00000000" w:rsidRPr="00C243B0" w:rsidP="00C243B0">
      <w:pPr>
        <w:pStyle w:val="BodyText"/>
      </w:pPr>
      <w:r w:rsidRPr="00C243B0">
        <w:t>Nil</w:t>
      </w:r>
    </w:p>
    <w:p w:rsidR="00000000" w:rsidRPr="00C243B0" w:rsidP="00C243B0">
      <w:pPr>
        <w:pStyle w:val="AllowPageBreak"/>
      </w:pPr>
    </w:p>
    <w:p w:rsidR="00000000" w:rsidRPr="00C243B0" w:rsidP="00C243B0">
      <w:pPr>
        <w:pStyle w:val="Heading1"/>
      </w:pPr>
      <w:bookmarkStart w:id="4" w:name="O_923140"/>
      <w:bookmarkEnd w:id="4"/>
      <w:r w:rsidRPr="00C243B0">
        <w:t>Competency Field</w:t>
      </w:r>
    </w:p>
    <w:p w:rsidR="00000000" w:rsidRPr="00C243B0" w:rsidP="00C243B0">
      <w:pPr>
        <w:pStyle w:val="BodyText"/>
      </w:pPr>
      <w:r w:rsidRPr="00C243B0">
        <w:t>Sustainable operations</w:t>
      </w:r>
    </w:p>
    <w:p w:rsidR="00000000" w:rsidRPr="00C243B0" w:rsidP="00C243B0">
      <w:pPr>
        <w:pStyle w:val="AllowPageBreak"/>
      </w:pPr>
    </w:p>
    <w:p w:rsidR="00000000" w:rsidRPr="00C243B0" w:rsidP="00C243B0">
      <w:pPr>
        <w:pStyle w:val="Heading1"/>
      </w:pPr>
      <w:bookmarkStart w:id="5" w:name="O_923139"/>
      <w:bookmarkEnd w:id="5"/>
      <w:r w:rsidRPr="00C243B0">
        <w:t>Unit Sector</w:t>
      </w:r>
    </w:p>
    <w:p w:rsidR="00000000" w:rsidRPr="00C243B0" w:rsidP="00C243B0">
      <w:pPr>
        <w:pStyle w:val="BodyText"/>
      </w:pPr>
      <w:r w:rsidRPr="00C243B0">
        <w:t>Not applicable</w:t>
      </w:r>
    </w:p>
    <w:p w:rsidR="00000000" w:rsidRPr="00C243B0" w:rsidP="00C243B0">
      <w:pPr>
        <w:pStyle w:val="AllowPageBreak"/>
      </w:pPr>
    </w:p>
    <w:p w:rsidR="00000000" w:rsidRPr="00C243B0" w:rsidP="00C243B0">
      <w:pPr>
        <w:pStyle w:val="Heading1"/>
      </w:pPr>
      <w:bookmarkStart w:id="6" w:name="O_923138"/>
      <w:bookmarkEnd w:id="6"/>
      <w:r w:rsidRPr="00C243B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243B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243B0">
            <w:pPr>
              <w:pStyle w:val="BodyText"/>
              <w:rPr>
                <w:lang w:val="en-NZ"/>
              </w:rPr>
            </w:pPr>
            <w:r w:rsidRPr="00C243B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243B0">
            <w:pPr>
              <w:pStyle w:val="BodyText"/>
              <w:rPr>
                <w:lang w:val="en-NZ"/>
              </w:rPr>
            </w:pPr>
            <w:r w:rsidRPr="00C243B0">
              <w:t>Performance criteria describe the performance needed to demonstrate achievement of the element.</w:t>
            </w:r>
          </w:p>
        </w:tc>
      </w:tr>
      <w:tr w:rsidTr="00C243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43B0" w:rsidP="00C243B0">
            <w:pPr>
              <w:pStyle w:val="BodyText"/>
            </w:pPr>
            <w:r w:rsidRPr="00C243B0">
              <w:t>1</w:t>
            </w:r>
          </w:p>
        </w:tc>
        <w:tc>
          <w:tcPr>
            <w:tcW w:w="1962" w:type="dxa"/>
            <w:vMerge w:val="restart"/>
            <w:tcBorders>
              <w:top w:val="nil"/>
              <w:left w:val="nil"/>
              <w:bottom w:val="nil"/>
              <w:right w:val="nil"/>
            </w:tcBorders>
            <w:tcMar>
              <w:top w:w="0" w:type="dxa"/>
              <w:left w:w="62" w:type="dxa"/>
              <w:bottom w:w="0" w:type="dxa"/>
              <w:right w:w="62" w:type="dxa"/>
            </w:tcMar>
          </w:tcPr>
          <w:p w:rsidR="00000000" w:rsidP="00C243B0">
            <w:pPr>
              <w:pStyle w:val="BodyText"/>
              <w:rPr>
                <w:lang w:val="en-NZ"/>
              </w:rPr>
            </w:pPr>
            <w:r w:rsidRPr="00C243B0">
              <w:rPr>
                <w:rStyle w:val="SpecialBold"/>
              </w:rPr>
              <w:t>Identify all sources and uses of materials in process</w:t>
            </w:r>
          </w:p>
        </w:tc>
        <w:tc>
          <w:tcPr>
            <w:tcW w:w="770" w:type="dxa"/>
            <w:tcBorders>
              <w:top w:val="nil"/>
              <w:left w:val="nil"/>
              <w:bottom w:val="nil"/>
              <w:right w:val="nil"/>
            </w:tcBorders>
            <w:tcMar>
              <w:top w:w="0" w:type="dxa"/>
              <w:left w:w="62" w:type="dxa"/>
              <w:bottom w:w="0" w:type="dxa"/>
              <w:right w:w="62" w:type="dxa"/>
            </w:tcMar>
          </w:tcPr>
          <w:p w:rsidR="00000000" w:rsidP="00C243B0">
            <w:pPr>
              <w:pStyle w:val="BodyText"/>
              <w:rPr>
                <w:lang w:val="en-NZ"/>
              </w:rPr>
            </w:pPr>
            <w:r w:rsidRPr="00C243B0">
              <w:t>1.1</w:t>
            </w:r>
          </w:p>
        </w:tc>
        <w:tc>
          <w:tcPr>
            <w:tcW w:w="5610" w:type="dxa"/>
            <w:tcBorders>
              <w:top w:val="nil"/>
              <w:left w:val="nil"/>
              <w:bottom w:val="nil"/>
              <w:right w:val="nil"/>
            </w:tcBorders>
            <w:tcMar>
              <w:top w:w="0" w:type="dxa"/>
              <w:left w:w="62" w:type="dxa"/>
              <w:bottom w:w="0" w:type="dxa"/>
              <w:right w:w="62" w:type="dxa"/>
            </w:tcMar>
          </w:tcPr>
          <w:p w:rsidR="00000000" w:rsidP="00C243B0">
            <w:pPr>
              <w:pStyle w:val="BodyText"/>
              <w:rPr>
                <w:lang w:val="en-NZ"/>
              </w:rPr>
            </w:pPr>
            <w:r w:rsidRPr="00C243B0">
              <w:t>Identify all sources of materials external to the site.</w:t>
            </w:r>
          </w:p>
        </w:tc>
      </w:tr>
      <w:tr w:rsidTr="00C243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3B0">
            <w:pPr>
              <w:pStyle w:val="BodyText"/>
              <w:rPr>
                <w:lang w:val="en-NZ"/>
              </w:rPr>
            </w:pPr>
            <w:r w:rsidRPr="00C243B0">
              <w:t>1.2</w:t>
            </w:r>
          </w:p>
        </w:tc>
        <w:tc>
          <w:tcPr>
            <w:tcW w:w="5610" w:type="dxa"/>
            <w:tcBorders>
              <w:top w:val="nil"/>
              <w:left w:val="nil"/>
              <w:bottom w:val="nil"/>
              <w:right w:val="nil"/>
            </w:tcBorders>
            <w:tcMar>
              <w:top w:w="0" w:type="dxa"/>
              <w:left w:w="62" w:type="dxa"/>
              <w:bottom w:w="0" w:type="dxa"/>
              <w:right w:w="62" w:type="dxa"/>
            </w:tcMar>
          </w:tcPr>
          <w:p w:rsidR="00000000" w:rsidP="00C243B0">
            <w:pPr>
              <w:pStyle w:val="BodyText"/>
              <w:rPr>
                <w:lang w:val="en-NZ"/>
              </w:rPr>
            </w:pPr>
            <w:r w:rsidRPr="00C243B0">
              <w:t>Identify all sources of materials within the site, where appropriate.</w:t>
            </w:r>
          </w:p>
        </w:tc>
      </w:tr>
      <w:tr w:rsidTr="00C243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3B0">
            <w:pPr>
              <w:pStyle w:val="BodyText"/>
              <w:rPr>
                <w:lang w:val="en-NZ"/>
              </w:rPr>
            </w:pPr>
            <w:r w:rsidRPr="00C243B0">
              <w:t>1.3</w:t>
            </w:r>
          </w:p>
        </w:tc>
        <w:tc>
          <w:tcPr>
            <w:tcW w:w="5610" w:type="dxa"/>
            <w:tcBorders>
              <w:top w:val="nil"/>
              <w:left w:val="nil"/>
              <w:bottom w:val="nil"/>
              <w:right w:val="nil"/>
            </w:tcBorders>
            <w:tcMar>
              <w:top w:w="0" w:type="dxa"/>
              <w:left w:w="62" w:type="dxa"/>
              <w:bottom w:w="0" w:type="dxa"/>
              <w:right w:w="62" w:type="dxa"/>
            </w:tcMar>
          </w:tcPr>
          <w:p w:rsidR="00000000" w:rsidP="00C243B0">
            <w:pPr>
              <w:pStyle w:val="BodyText"/>
              <w:rPr>
                <w:lang w:val="en-NZ"/>
              </w:rPr>
            </w:pPr>
            <w:r w:rsidRPr="00C243B0">
              <w:t>Identify all uses of materials by the process overall.</w:t>
            </w:r>
          </w:p>
        </w:tc>
      </w:tr>
      <w:tr w:rsidTr="00C243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3B0">
            <w:pPr>
              <w:pStyle w:val="BodyText"/>
              <w:rPr>
                <w:lang w:val="en-NZ"/>
              </w:rPr>
            </w:pPr>
            <w:r w:rsidRPr="00C243B0">
              <w:t>1.4</w:t>
            </w:r>
          </w:p>
        </w:tc>
        <w:tc>
          <w:tcPr>
            <w:tcW w:w="5610" w:type="dxa"/>
            <w:tcBorders>
              <w:top w:val="nil"/>
              <w:left w:val="nil"/>
              <w:bottom w:val="nil"/>
              <w:right w:val="nil"/>
            </w:tcBorders>
            <w:tcMar>
              <w:top w:w="0" w:type="dxa"/>
              <w:left w:w="62" w:type="dxa"/>
              <w:bottom w:w="0" w:type="dxa"/>
              <w:right w:w="62" w:type="dxa"/>
            </w:tcMar>
          </w:tcPr>
          <w:p w:rsidR="00000000" w:rsidP="00C243B0">
            <w:pPr>
              <w:pStyle w:val="BodyText"/>
              <w:rPr>
                <w:lang w:val="en-NZ"/>
              </w:rPr>
            </w:pPr>
            <w:r w:rsidRPr="00C243B0">
              <w:t>Identify all uses of materials by each process unit.</w:t>
            </w:r>
          </w:p>
        </w:tc>
      </w:tr>
      <w:tr w:rsidTr="00C243B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243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43B0" w:rsidP="00C243B0">
            <w:pPr>
              <w:pStyle w:val="BodyText"/>
            </w:pPr>
            <w:r w:rsidRPr="00C243B0">
              <w:t>2</w:t>
            </w:r>
          </w:p>
        </w:tc>
        <w:tc>
          <w:tcPr>
            <w:tcW w:w="1962" w:type="dxa"/>
            <w:vMerge w:val="restart"/>
            <w:tcBorders>
              <w:top w:val="nil"/>
              <w:left w:val="nil"/>
              <w:bottom w:val="nil"/>
              <w:right w:val="nil"/>
            </w:tcBorders>
            <w:tcMar>
              <w:top w:w="0" w:type="dxa"/>
              <w:left w:w="62" w:type="dxa"/>
              <w:bottom w:w="0" w:type="dxa"/>
              <w:right w:w="62" w:type="dxa"/>
            </w:tcMar>
          </w:tcPr>
          <w:p w:rsidR="00000000" w:rsidP="00C243B0">
            <w:pPr>
              <w:pStyle w:val="BodyText"/>
              <w:rPr>
                <w:lang w:val="en-NZ"/>
              </w:rPr>
            </w:pPr>
            <w:r w:rsidRPr="00C243B0">
              <w:rPr>
                <w:rStyle w:val="SpecialBold"/>
              </w:rPr>
              <w:t>Calculate theoretical use of the materials</w:t>
            </w:r>
          </w:p>
        </w:tc>
        <w:tc>
          <w:tcPr>
            <w:tcW w:w="770" w:type="dxa"/>
            <w:tcBorders>
              <w:top w:val="nil"/>
              <w:left w:val="nil"/>
              <w:bottom w:val="nil"/>
              <w:right w:val="nil"/>
            </w:tcBorders>
            <w:tcMar>
              <w:top w:w="0" w:type="dxa"/>
              <w:left w:w="62" w:type="dxa"/>
              <w:bottom w:w="0" w:type="dxa"/>
              <w:right w:w="62" w:type="dxa"/>
            </w:tcMar>
          </w:tcPr>
          <w:p w:rsidR="00000000" w:rsidP="00C243B0">
            <w:pPr>
              <w:pStyle w:val="BodyText"/>
              <w:rPr>
                <w:lang w:val="en-NZ"/>
              </w:rPr>
            </w:pPr>
            <w:r w:rsidRPr="00C243B0">
              <w:t>2.1</w:t>
            </w:r>
          </w:p>
        </w:tc>
        <w:tc>
          <w:tcPr>
            <w:tcW w:w="5610" w:type="dxa"/>
            <w:tcBorders>
              <w:top w:val="nil"/>
              <w:left w:val="nil"/>
              <w:bottom w:val="nil"/>
              <w:right w:val="nil"/>
            </w:tcBorders>
            <w:tcMar>
              <w:top w:w="0" w:type="dxa"/>
              <w:left w:w="62" w:type="dxa"/>
              <w:bottom w:w="0" w:type="dxa"/>
              <w:right w:w="62" w:type="dxa"/>
            </w:tcMar>
          </w:tcPr>
          <w:p w:rsidR="00000000" w:rsidP="00C243B0">
            <w:pPr>
              <w:pStyle w:val="BodyText"/>
              <w:rPr>
                <w:lang w:val="en-NZ"/>
              </w:rPr>
            </w:pPr>
            <w:r w:rsidRPr="00C243B0">
              <w:t>Calculate theoretical net consumption of material for each process unit.</w:t>
            </w:r>
          </w:p>
        </w:tc>
      </w:tr>
      <w:tr w:rsidTr="00C243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3B0">
            <w:pPr>
              <w:pStyle w:val="BodyText"/>
              <w:rPr>
                <w:lang w:val="en-NZ"/>
              </w:rPr>
            </w:pPr>
            <w:r w:rsidRPr="00C243B0">
              <w:t>2.2</w:t>
            </w:r>
          </w:p>
        </w:tc>
        <w:tc>
          <w:tcPr>
            <w:tcW w:w="5610" w:type="dxa"/>
            <w:tcBorders>
              <w:top w:val="nil"/>
              <w:left w:val="nil"/>
              <w:bottom w:val="nil"/>
              <w:right w:val="nil"/>
            </w:tcBorders>
            <w:tcMar>
              <w:top w:w="0" w:type="dxa"/>
              <w:left w:w="62" w:type="dxa"/>
              <w:bottom w:w="0" w:type="dxa"/>
              <w:right w:w="62" w:type="dxa"/>
            </w:tcMar>
          </w:tcPr>
          <w:p w:rsidR="00000000" w:rsidP="00C243B0">
            <w:pPr>
              <w:pStyle w:val="BodyText"/>
              <w:rPr>
                <w:lang w:val="en-NZ"/>
              </w:rPr>
            </w:pPr>
            <w:r w:rsidRPr="00C243B0">
              <w:t>Calculate overall material balance for process/site.</w:t>
            </w:r>
          </w:p>
        </w:tc>
      </w:tr>
      <w:tr w:rsidTr="00C243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3B0">
            <w:pPr>
              <w:pStyle w:val="BodyText"/>
              <w:rPr>
                <w:lang w:val="en-NZ"/>
              </w:rPr>
            </w:pPr>
            <w:r w:rsidRPr="00C243B0">
              <w:t>2.3</w:t>
            </w:r>
          </w:p>
        </w:tc>
        <w:tc>
          <w:tcPr>
            <w:tcW w:w="5610" w:type="dxa"/>
            <w:tcBorders>
              <w:top w:val="nil"/>
              <w:left w:val="nil"/>
              <w:bottom w:val="nil"/>
              <w:right w:val="nil"/>
            </w:tcBorders>
            <w:tcMar>
              <w:top w:w="0" w:type="dxa"/>
              <w:left w:w="62" w:type="dxa"/>
              <w:bottom w:w="0" w:type="dxa"/>
              <w:right w:w="62" w:type="dxa"/>
            </w:tcMar>
          </w:tcPr>
          <w:p w:rsidR="00000000" w:rsidP="00C243B0">
            <w:pPr>
              <w:pStyle w:val="BodyText"/>
              <w:rPr>
                <w:lang w:val="en-NZ"/>
              </w:rPr>
            </w:pPr>
            <w:r w:rsidRPr="00C243B0">
              <w:t>Evaluate the need for material consumption by process and units within the process compared to alternative processes/units.</w:t>
            </w:r>
          </w:p>
        </w:tc>
      </w:tr>
      <w:tr w:rsidTr="00C243B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243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43B0" w:rsidP="00C243B0">
            <w:pPr>
              <w:pStyle w:val="BodyText"/>
            </w:pPr>
            <w:r w:rsidRPr="00C243B0">
              <w:t>3</w:t>
            </w:r>
          </w:p>
        </w:tc>
        <w:tc>
          <w:tcPr>
            <w:tcW w:w="1962" w:type="dxa"/>
            <w:vMerge w:val="restart"/>
            <w:tcBorders>
              <w:top w:val="nil"/>
              <w:left w:val="nil"/>
              <w:bottom w:val="nil"/>
              <w:right w:val="nil"/>
            </w:tcBorders>
            <w:tcMar>
              <w:top w:w="0" w:type="dxa"/>
              <w:left w:w="62" w:type="dxa"/>
              <w:bottom w:w="0" w:type="dxa"/>
              <w:right w:w="62" w:type="dxa"/>
            </w:tcMar>
          </w:tcPr>
          <w:p w:rsidR="00000000" w:rsidP="00C243B0">
            <w:pPr>
              <w:pStyle w:val="BodyText"/>
              <w:rPr>
                <w:lang w:val="en-NZ"/>
              </w:rPr>
            </w:pPr>
            <w:r w:rsidRPr="00C243B0">
              <w:rPr>
                <w:rStyle w:val="SpecialBold"/>
              </w:rPr>
              <w:t>Measure actual use of materials</w:t>
            </w:r>
          </w:p>
        </w:tc>
        <w:tc>
          <w:tcPr>
            <w:tcW w:w="770" w:type="dxa"/>
            <w:tcBorders>
              <w:top w:val="nil"/>
              <w:left w:val="nil"/>
              <w:bottom w:val="nil"/>
              <w:right w:val="nil"/>
            </w:tcBorders>
            <w:tcMar>
              <w:top w:w="0" w:type="dxa"/>
              <w:left w:w="62" w:type="dxa"/>
              <w:bottom w:w="0" w:type="dxa"/>
              <w:right w:w="62" w:type="dxa"/>
            </w:tcMar>
          </w:tcPr>
          <w:p w:rsidR="00000000" w:rsidP="00C243B0">
            <w:pPr>
              <w:pStyle w:val="BodyText"/>
              <w:rPr>
                <w:lang w:val="en-NZ"/>
              </w:rPr>
            </w:pPr>
            <w:r w:rsidRPr="00C243B0">
              <w:t>3.1</w:t>
            </w:r>
          </w:p>
        </w:tc>
        <w:tc>
          <w:tcPr>
            <w:tcW w:w="5610" w:type="dxa"/>
            <w:tcBorders>
              <w:top w:val="nil"/>
              <w:left w:val="nil"/>
              <w:bottom w:val="nil"/>
              <w:right w:val="nil"/>
            </w:tcBorders>
            <w:tcMar>
              <w:top w:w="0" w:type="dxa"/>
              <w:left w:w="62" w:type="dxa"/>
              <w:bottom w:w="0" w:type="dxa"/>
              <w:right w:w="62" w:type="dxa"/>
            </w:tcMar>
          </w:tcPr>
          <w:p w:rsidR="00000000" w:rsidP="00C243B0">
            <w:pPr>
              <w:pStyle w:val="BodyText"/>
              <w:rPr>
                <w:lang w:val="en-NZ"/>
              </w:rPr>
            </w:pPr>
            <w:r w:rsidRPr="00C243B0">
              <w:t>Determine actual net material consumption for overall process/site.</w:t>
            </w:r>
          </w:p>
        </w:tc>
      </w:tr>
      <w:tr w:rsidTr="00C243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3B0">
            <w:pPr>
              <w:pStyle w:val="BodyText"/>
              <w:rPr>
                <w:lang w:val="en-NZ"/>
              </w:rPr>
            </w:pPr>
            <w:r w:rsidRPr="00C243B0">
              <w:t>3.2</w:t>
            </w:r>
          </w:p>
        </w:tc>
        <w:tc>
          <w:tcPr>
            <w:tcW w:w="5610" w:type="dxa"/>
            <w:tcBorders>
              <w:top w:val="nil"/>
              <w:left w:val="nil"/>
              <w:bottom w:val="nil"/>
              <w:right w:val="nil"/>
            </w:tcBorders>
            <w:tcMar>
              <w:top w:w="0" w:type="dxa"/>
              <w:left w:w="62" w:type="dxa"/>
              <w:bottom w:w="0" w:type="dxa"/>
              <w:right w:w="62" w:type="dxa"/>
            </w:tcMar>
          </w:tcPr>
          <w:p w:rsidR="00000000" w:rsidP="00C243B0">
            <w:pPr>
              <w:pStyle w:val="BodyText"/>
              <w:rPr>
                <w:lang w:val="en-NZ"/>
              </w:rPr>
            </w:pPr>
            <w:r w:rsidRPr="00C243B0">
              <w:t>Determine actual net material consumption for each process unit.</w:t>
            </w:r>
          </w:p>
        </w:tc>
      </w:tr>
      <w:tr w:rsidTr="00C243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3B0">
            <w:pPr>
              <w:pStyle w:val="BodyText"/>
              <w:rPr>
                <w:lang w:val="en-NZ"/>
              </w:rPr>
            </w:pPr>
            <w:r w:rsidRPr="00C243B0">
              <w:t>3.3</w:t>
            </w:r>
          </w:p>
        </w:tc>
        <w:tc>
          <w:tcPr>
            <w:tcW w:w="5610" w:type="dxa"/>
            <w:tcBorders>
              <w:top w:val="nil"/>
              <w:left w:val="nil"/>
              <w:bottom w:val="nil"/>
              <w:right w:val="nil"/>
            </w:tcBorders>
            <w:tcMar>
              <w:top w:w="0" w:type="dxa"/>
              <w:left w:w="62" w:type="dxa"/>
              <w:bottom w:w="0" w:type="dxa"/>
              <w:right w:w="62" w:type="dxa"/>
            </w:tcMar>
          </w:tcPr>
          <w:p w:rsidR="00000000" w:rsidP="00C243B0">
            <w:pPr>
              <w:pStyle w:val="BodyText"/>
              <w:rPr>
                <w:lang w:val="en-NZ"/>
              </w:rPr>
            </w:pPr>
            <w:r w:rsidRPr="00C243B0">
              <w:t>Calculate difference between theoretical and actual material consumption by unit and overall.</w:t>
            </w:r>
          </w:p>
        </w:tc>
      </w:tr>
      <w:tr w:rsidTr="00C243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3B0">
            <w:pPr>
              <w:pStyle w:val="BodyText"/>
              <w:rPr>
                <w:lang w:val="en-NZ"/>
              </w:rPr>
            </w:pPr>
            <w:r w:rsidRPr="00C243B0">
              <w:t>3.4</w:t>
            </w:r>
          </w:p>
        </w:tc>
        <w:tc>
          <w:tcPr>
            <w:tcW w:w="5610" w:type="dxa"/>
            <w:tcBorders>
              <w:top w:val="nil"/>
              <w:left w:val="nil"/>
              <w:bottom w:val="nil"/>
              <w:right w:val="nil"/>
            </w:tcBorders>
            <w:tcMar>
              <w:top w:w="0" w:type="dxa"/>
              <w:left w:w="62" w:type="dxa"/>
              <w:bottom w:w="0" w:type="dxa"/>
              <w:right w:w="62" w:type="dxa"/>
            </w:tcMar>
          </w:tcPr>
          <w:p w:rsidR="00000000" w:rsidP="00C243B0">
            <w:pPr>
              <w:pStyle w:val="BodyText"/>
              <w:rPr>
                <w:lang w:val="en-NZ"/>
              </w:rPr>
            </w:pPr>
            <w:r w:rsidRPr="00C243B0">
              <w:t>Identify actual emissions by each process unit.</w:t>
            </w:r>
          </w:p>
        </w:tc>
      </w:tr>
      <w:tr w:rsidTr="00C243B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243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43B0" w:rsidP="00C243B0">
            <w:pPr>
              <w:pStyle w:val="BodyText"/>
            </w:pPr>
            <w:r w:rsidRPr="00C243B0">
              <w:t>4</w:t>
            </w:r>
          </w:p>
        </w:tc>
        <w:tc>
          <w:tcPr>
            <w:tcW w:w="1962" w:type="dxa"/>
            <w:vMerge w:val="restart"/>
            <w:tcBorders>
              <w:top w:val="nil"/>
              <w:left w:val="nil"/>
              <w:bottom w:val="nil"/>
              <w:right w:val="nil"/>
            </w:tcBorders>
            <w:tcMar>
              <w:top w:w="0" w:type="dxa"/>
              <w:left w:w="62" w:type="dxa"/>
              <w:bottom w:w="0" w:type="dxa"/>
              <w:right w:w="62" w:type="dxa"/>
            </w:tcMar>
          </w:tcPr>
          <w:p w:rsidR="00000000" w:rsidP="00C243B0">
            <w:pPr>
              <w:pStyle w:val="BodyText"/>
              <w:rPr>
                <w:lang w:val="en-NZ"/>
              </w:rPr>
            </w:pPr>
            <w:r w:rsidRPr="00C243B0">
              <w:rPr>
                <w:rStyle w:val="SpecialBold"/>
              </w:rPr>
              <w:t>Develop strategies for reducing emissions</w:t>
            </w:r>
          </w:p>
        </w:tc>
        <w:tc>
          <w:tcPr>
            <w:tcW w:w="770" w:type="dxa"/>
            <w:tcBorders>
              <w:top w:val="nil"/>
              <w:left w:val="nil"/>
              <w:bottom w:val="nil"/>
              <w:right w:val="nil"/>
            </w:tcBorders>
            <w:tcMar>
              <w:top w:w="0" w:type="dxa"/>
              <w:left w:w="62" w:type="dxa"/>
              <w:bottom w:w="0" w:type="dxa"/>
              <w:right w:w="62" w:type="dxa"/>
            </w:tcMar>
          </w:tcPr>
          <w:p w:rsidR="00000000" w:rsidP="00C243B0">
            <w:pPr>
              <w:pStyle w:val="BodyText"/>
              <w:rPr>
                <w:lang w:val="en-NZ"/>
              </w:rPr>
            </w:pPr>
            <w:r w:rsidRPr="00C243B0">
              <w:t>4.1</w:t>
            </w:r>
          </w:p>
        </w:tc>
        <w:tc>
          <w:tcPr>
            <w:tcW w:w="5610" w:type="dxa"/>
            <w:tcBorders>
              <w:top w:val="nil"/>
              <w:left w:val="nil"/>
              <w:bottom w:val="nil"/>
              <w:right w:val="nil"/>
            </w:tcBorders>
            <w:tcMar>
              <w:top w:w="0" w:type="dxa"/>
              <w:left w:w="62" w:type="dxa"/>
              <w:bottom w:w="0" w:type="dxa"/>
              <w:right w:w="62" w:type="dxa"/>
            </w:tcMar>
          </w:tcPr>
          <w:p w:rsidR="00000000" w:rsidP="00C243B0">
            <w:pPr>
              <w:pStyle w:val="BodyText"/>
              <w:rPr>
                <w:lang w:val="en-NZ"/>
              </w:rPr>
            </w:pPr>
            <w:r w:rsidRPr="00C243B0">
              <w:t>Rank units by difference between theoretical and actual material consumption.</w:t>
            </w:r>
          </w:p>
        </w:tc>
      </w:tr>
      <w:tr w:rsidTr="00C243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3B0">
            <w:pPr>
              <w:pStyle w:val="BodyText"/>
              <w:rPr>
                <w:lang w:val="en-NZ"/>
              </w:rPr>
            </w:pPr>
            <w:r w:rsidRPr="00C243B0">
              <w:t>4.2</w:t>
            </w:r>
          </w:p>
        </w:tc>
        <w:tc>
          <w:tcPr>
            <w:tcW w:w="5610" w:type="dxa"/>
            <w:tcBorders>
              <w:top w:val="nil"/>
              <w:left w:val="nil"/>
              <w:bottom w:val="nil"/>
              <w:right w:val="nil"/>
            </w:tcBorders>
            <w:tcMar>
              <w:top w:w="0" w:type="dxa"/>
              <w:left w:w="62" w:type="dxa"/>
              <w:bottom w:w="0" w:type="dxa"/>
              <w:right w:w="62" w:type="dxa"/>
            </w:tcMar>
          </w:tcPr>
          <w:p w:rsidR="00000000" w:rsidP="00C243B0">
            <w:pPr>
              <w:pStyle w:val="BodyText"/>
              <w:rPr>
                <w:lang w:val="en-NZ"/>
              </w:rPr>
            </w:pPr>
            <w:r w:rsidRPr="00C243B0">
              <w:t>Rank units by actual material consumption.</w:t>
            </w:r>
          </w:p>
        </w:tc>
      </w:tr>
      <w:tr w:rsidTr="00C243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3B0">
            <w:pPr>
              <w:pStyle w:val="BodyText"/>
              <w:rPr>
                <w:lang w:val="en-NZ"/>
              </w:rPr>
            </w:pPr>
            <w:r w:rsidRPr="00C243B0">
              <w:t>4.3</w:t>
            </w:r>
          </w:p>
        </w:tc>
        <w:tc>
          <w:tcPr>
            <w:tcW w:w="5610" w:type="dxa"/>
            <w:tcBorders>
              <w:top w:val="nil"/>
              <w:left w:val="nil"/>
              <w:bottom w:val="nil"/>
              <w:right w:val="nil"/>
            </w:tcBorders>
            <w:tcMar>
              <w:top w:w="0" w:type="dxa"/>
              <w:left w:w="62" w:type="dxa"/>
              <w:bottom w:w="0" w:type="dxa"/>
              <w:right w:w="62" w:type="dxa"/>
            </w:tcMar>
          </w:tcPr>
          <w:p w:rsidR="00000000" w:rsidP="00C243B0">
            <w:pPr>
              <w:pStyle w:val="BodyText"/>
              <w:rPr>
                <w:lang w:val="en-NZ"/>
              </w:rPr>
            </w:pPr>
            <w:r w:rsidRPr="00C243B0">
              <w:t>Develop strategies to reduce material consumption.</w:t>
            </w:r>
          </w:p>
        </w:tc>
      </w:tr>
      <w:tr w:rsidTr="00C243B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243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43B0" w:rsidP="00C243B0">
            <w:pPr>
              <w:pStyle w:val="BodyText"/>
            </w:pPr>
            <w:r w:rsidRPr="00C243B0">
              <w:t>5</w:t>
            </w:r>
          </w:p>
        </w:tc>
        <w:tc>
          <w:tcPr>
            <w:tcW w:w="1962" w:type="dxa"/>
            <w:vMerge w:val="restart"/>
            <w:tcBorders>
              <w:top w:val="nil"/>
              <w:left w:val="nil"/>
              <w:bottom w:val="nil"/>
              <w:right w:val="nil"/>
            </w:tcBorders>
            <w:tcMar>
              <w:top w:w="0" w:type="dxa"/>
              <w:left w:w="62" w:type="dxa"/>
              <w:bottom w:w="0" w:type="dxa"/>
              <w:right w:w="62" w:type="dxa"/>
            </w:tcMar>
          </w:tcPr>
          <w:p w:rsidR="00000000" w:rsidP="00C243B0">
            <w:pPr>
              <w:pStyle w:val="BodyText"/>
              <w:rPr>
                <w:lang w:val="en-NZ"/>
              </w:rPr>
            </w:pPr>
            <w:r w:rsidRPr="00C243B0">
              <w:rPr>
                <w:rStyle w:val="SpecialBold"/>
              </w:rPr>
              <w:t>Prepare a recommendation for an emissions reduction strategy</w:t>
            </w:r>
          </w:p>
        </w:tc>
        <w:tc>
          <w:tcPr>
            <w:tcW w:w="770" w:type="dxa"/>
            <w:tcBorders>
              <w:top w:val="nil"/>
              <w:left w:val="nil"/>
              <w:bottom w:val="nil"/>
              <w:right w:val="nil"/>
            </w:tcBorders>
            <w:tcMar>
              <w:top w:w="0" w:type="dxa"/>
              <w:left w:w="62" w:type="dxa"/>
              <w:bottom w:w="0" w:type="dxa"/>
              <w:right w:w="62" w:type="dxa"/>
            </w:tcMar>
          </w:tcPr>
          <w:p w:rsidR="00000000" w:rsidP="00C243B0">
            <w:pPr>
              <w:pStyle w:val="BodyText"/>
              <w:rPr>
                <w:lang w:val="en-NZ"/>
              </w:rPr>
            </w:pPr>
            <w:r w:rsidRPr="00C243B0">
              <w:t>5.1</w:t>
            </w:r>
          </w:p>
        </w:tc>
        <w:tc>
          <w:tcPr>
            <w:tcW w:w="5610" w:type="dxa"/>
            <w:tcBorders>
              <w:top w:val="nil"/>
              <w:left w:val="nil"/>
              <w:bottom w:val="nil"/>
              <w:right w:val="nil"/>
            </w:tcBorders>
            <w:tcMar>
              <w:top w:w="0" w:type="dxa"/>
              <w:left w:w="62" w:type="dxa"/>
              <w:bottom w:w="0" w:type="dxa"/>
              <w:right w:w="62" w:type="dxa"/>
            </w:tcMar>
          </w:tcPr>
          <w:p w:rsidR="00000000" w:rsidP="00C243B0">
            <w:pPr>
              <w:pStyle w:val="BodyText"/>
              <w:rPr>
                <w:lang w:val="en-NZ"/>
              </w:rPr>
            </w:pPr>
            <w:r w:rsidRPr="00C243B0">
              <w:t>Consult with key stakeholders.</w:t>
            </w:r>
          </w:p>
        </w:tc>
      </w:tr>
      <w:tr w:rsidTr="00C243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3B0">
            <w:pPr>
              <w:pStyle w:val="BodyText"/>
              <w:rPr>
                <w:lang w:val="en-NZ"/>
              </w:rPr>
            </w:pPr>
            <w:r w:rsidRPr="00C243B0">
              <w:t>5.2</w:t>
            </w:r>
          </w:p>
        </w:tc>
        <w:tc>
          <w:tcPr>
            <w:tcW w:w="5610" w:type="dxa"/>
            <w:tcBorders>
              <w:top w:val="nil"/>
              <w:left w:val="nil"/>
              <w:bottom w:val="nil"/>
              <w:right w:val="nil"/>
            </w:tcBorders>
            <w:tcMar>
              <w:top w:w="0" w:type="dxa"/>
              <w:left w:w="62" w:type="dxa"/>
              <w:bottom w:w="0" w:type="dxa"/>
              <w:right w:w="62" w:type="dxa"/>
            </w:tcMar>
          </w:tcPr>
          <w:p w:rsidR="00000000" w:rsidP="00C243B0">
            <w:pPr>
              <w:pStyle w:val="BodyText"/>
              <w:rPr>
                <w:lang w:val="en-NZ"/>
              </w:rPr>
            </w:pPr>
            <w:r w:rsidRPr="00C243B0">
              <w:t>Identify strategies required to meet regulatory or similar requirements.</w:t>
            </w:r>
          </w:p>
        </w:tc>
      </w:tr>
      <w:tr w:rsidTr="00C243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3B0">
            <w:pPr>
              <w:pStyle w:val="BodyText"/>
              <w:rPr>
                <w:lang w:val="en-NZ"/>
              </w:rPr>
            </w:pPr>
            <w:r w:rsidRPr="00C243B0">
              <w:t>5.3</w:t>
            </w:r>
          </w:p>
        </w:tc>
        <w:tc>
          <w:tcPr>
            <w:tcW w:w="5610" w:type="dxa"/>
            <w:tcBorders>
              <w:top w:val="nil"/>
              <w:left w:val="nil"/>
              <w:bottom w:val="nil"/>
              <w:right w:val="nil"/>
            </w:tcBorders>
            <w:tcMar>
              <w:top w:w="0" w:type="dxa"/>
              <w:left w:w="62" w:type="dxa"/>
              <w:bottom w:w="0" w:type="dxa"/>
              <w:right w:w="62" w:type="dxa"/>
            </w:tcMar>
          </w:tcPr>
          <w:p w:rsidR="00000000" w:rsidP="00C243B0">
            <w:pPr>
              <w:pStyle w:val="BodyText"/>
              <w:rPr>
                <w:lang w:val="en-NZ"/>
              </w:rPr>
            </w:pPr>
            <w:r w:rsidRPr="00C243B0">
              <w:t>Rank strategies by benefit/cost ratio.</w:t>
            </w:r>
          </w:p>
        </w:tc>
      </w:tr>
      <w:tr w:rsidTr="00C243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3B0">
            <w:pPr>
              <w:pStyle w:val="BodyText"/>
              <w:rPr>
                <w:lang w:val="en-NZ"/>
              </w:rPr>
            </w:pPr>
            <w:r w:rsidRPr="00C243B0">
              <w:t>5.4</w:t>
            </w:r>
          </w:p>
        </w:tc>
        <w:tc>
          <w:tcPr>
            <w:tcW w:w="5610" w:type="dxa"/>
            <w:tcBorders>
              <w:top w:val="nil"/>
              <w:left w:val="nil"/>
              <w:bottom w:val="nil"/>
              <w:right w:val="nil"/>
            </w:tcBorders>
            <w:tcMar>
              <w:top w:w="0" w:type="dxa"/>
              <w:left w:w="62" w:type="dxa"/>
              <w:bottom w:w="0" w:type="dxa"/>
              <w:right w:w="62" w:type="dxa"/>
            </w:tcMar>
          </w:tcPr>
          <w:p w:rsidR="00000000" w:rsidP="00C243B0">
            <w:pPr>
              <w:pStyle w:val="BodyText"/>
              <w:rPr>
                <w:lang w:val="en-NZ"/>
              </w:rPr>
            </w:pPr>
            <w:r w:rsidRPr="00C243B0">
              <w:t>Short-list preferred emission reduction strategies.</w:t>
            </w:r>
          </w:p>
        </w:tc>
      </w:tr>
      <w:tr w:rsidTr="00C243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3B0">
            <w:pPr>
              <w:pStyle w:val="BodyText"/>
              <w:rPr>
                <w:lang w:val="en-NZ"/>
              </w:rPr>
            </w:pPr>
            <w:r w:rsidRPr="00C243B0">
              <w:t>5.5</w:t>
            </w:r>
          </w:p>
        </w:tc>
        <w:tc>
          <w:tcPr>
            <w:tcW w:w="5610" w:type="dxa"/>
            <w:tcBorders>
              <w:top w:val="nil"/>
              <w:left w:val="nil"/>
              <w:bottom w:val="nil"/>
              <w:right w:val="nil"/>
            </w:tcBorders>
            <w:tcMar>
              <w:top w:w="0" w:type="dxa"/>
              <w:left w:w="62" w:type="dxa"/>
              <w:bottom w:w="0" w:type="dxa"/>
              <w:right w:w="62" w:type="dxa"/>
            </w:tcMar>
          </w:tcPr>
          <w:p w:rsidR="00000000" w:rsidRPr="00C243B0" w:rsidP="00C243B0">
            <w:pPr>
              <w:pStyle w:val="BodyText"/>
            </w:pPr>
            <w:r w:rsidRPr="00C243B0">
              <w:t>Prepare recommendation for reducing emissions.</w:t>
            </w:r>
          </w:p>
        </w:tc>
      </w:tr>
    </w:tbl>
    <w:p w:rsidR="00000000" w:rsidRPr="00C243B0" w:rsidP="00C243B0">
      <w:pPr>
        <w:pStyle w:val="BodyText"/>
      </w:pPr>
    </w:p>
    <w:p w:rsidR="00000000" w:rsidRPr="00C243B0" w:rsidP="00C243B0">
      <w:pPr>
        <w:pStyle w:val="AllowPageBreak"/>
      </w:pPr>
    </w:p>
    <w:p w:rsidR="00000000" w:rsidRPr="00C243B0" w:rsidP="00C243B0">
      <w:pPr>
        <w:pStyle w:val="Heading1"/>
      </w:pPr>
      <w:bookmarkStart w:id="7" w:name="O_923137"/>
      <w:bookmarkEnd w:id="7"/>
      <w:r w:rsidRPr="00C243B0">
        <w:t>Foundation Skills</w:t>
      </w:r>
    </w:p>
    <w:p w:rsidR="00000000" w:rsidRPr="00C243B0" w:rsidP="00C243B0">
      <w:pPr>
        <w:pStyle w:val="BodyText"/>
      </w:pPr>
      <w:r w:rsidRPr="00C243B0">
        <w:t>This section describes those required skills (language, literacy and numeracy) that are essential to performance.</w:t>
      </w:r>
    </w:p>
    <w:p w:rsidR="00000000" w:rsidRPr="00C243B0" w:rsidP="00C243B0">
      <w:pPr>
        <w:pStyle w:val="BodyText"/>
      </w:pPr>
    </w:p>
    <w:p w:rsidR="00000000" w:rsidRPr="00C243B0" w:rsidP="00C243B0">
      <w:pPr>
        <w:pStyle w:val="BodyText"/>
      </w:pPr>
      <w:r w:rsidRPr="00C243B0">
        <w:t>Foundation skills essential to performance are explicit in the performance criteria of this unit of competency.</w:t>
      </w:r>
    </w:p>
    <w:p w:rsidR="00000000" w:rsidRPr="00C243B0" w:rsidP="00C243B0">
      <w:pPr>
        <w:pStyle w:val="AllowPageBreak"/>
      </w:pPr>
    </w:p>
    <w:p w:rsidR="00000000" w:rsidRPr="00C243B0" w:rsidP="00C243B0">
      <w:pPr>
        <w:pStyle w:val="Heading1"/>
      </w:pPr>
      <w:bookmarkStart w:id="8" w:name="O_923136"/>
      <w:bookmarkEnd w:id="8"/>
      <w:r w:rsidRPr="00C243B0">
        <w:t>Range of Conditions</w:t>
      </w:r>
    </w:p>
    <w:tbl>
      <w:tblPr>
        <w:tblW w:w="0" w:type="auto"/>
        <w:tblLayout w:type="fixed"/>
        <w:tblCellMar>
          <w:left w:w="62" w:type="dxa"/>
          <w:right w:w="62" w:type="dxa"/>
        </w:tblCellMar>
        <w:tblLook w:val="0000"/>
      </w:tblPr>
      <w:tblGrid>
        <w:gridCol w:w="2270"/>
        <w:gridCol w:w="6802"/>
      </w:tblGrid>
      <w:tr w:rsidTr="00C243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243B0">
            <w:pPr>
              <w:pStyle w:val="BodyText"/>
              <w:rPr>
                <w:lang w:val="en-NZ"/>
              </w:rPr>
            </w:pPr>
            <w:r w:rsidRPr="00C243B0">
              <w:t>This field allows for different work environments and conditions that may affect performance. Essential operating conditions that may be present (depending on the work situation, needs of the candidate, accessibility of the item, and local industry and reg</w:t>
            </w:r>
            <w:r w:rsidRPr="00C243B0">
              <w:t>ional contexts) are included.</w:t>
            </w:r>
          </w:p>
        </w:tc>
      </w:tr>
      <w:tr w:rsidTr="00C243B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C243B0">
            <w:pPr>
              <w:pStyle w:val="BodyText"/>
              <w:rPr>
                <w:lang w:val="en-NZ"/>
              </w:rPr>
            </w:pPr>
            <w:r w:rsidRPr="00C243B0">
              <w:rPr>
                <w:rStyle w:val="SpecialBold"/>
              </w:rPr>
              <w:t>Materials include one or more of</w:t>
            </w:r>
          </w:p>
        </w:tc>
        <w:tc>
          <w:tcPr>
            <w:tcW w:w="6802" w:type="dxa"/>
            <w:tcBorders>
              <w:top w:val="nil"/>
              <w:left w:val="nil"/>
              <w:bottom w:val="nil"/>
              <w:right w:val="nil"/>
            </w:tcBorders>
            <w:tcMar>
              <w:top w:w="0" w:type="dxa"/>
              <w:left w:w="62" w:type="dxa"/>
              <w:bottom w:w="0" w:type="dxa"/>
              <w:right w:w="62" w:type="dxa"/>
            </w:tcMar>
          </w:tcPr>
          <w:p w:rsidR="00000000" w:rsidRPr="00C243B0" w:rsidP="00C243B0">
            <w:pPr>
              <w:pStyle w:val="ListBullet"/>
            </w:pPr>
            <w:r w:rsidRPr="00C243B0">
              <w:t>materials directly used and also materials which comprise components which are used</w:t>
            </w:r>
          </w:p>
          <w:p w:rsidR="00000000" w:rsidRPr="00C243B0" w:rsidP="00C243B0">
            <w:pPr>
              <w:pStyle w:val="ListBullet"/>
            </w:pPr>
            <w:r w:rsidRPr="00C243B0">
              <w:t>materials/resources which may be consumed to make a physical product</w:t>
            </w:r>
          </w:p>
          <w:p w:rsidR="00000000" w:rsidRPr="00C243B0" w:rsidP="00C243B0">
            <w:pPr>
              <w:pStyle w:val="ListBullet"/>
            </w:pPr>
            <w:r w:rsidRPr="00C243B0">
              <w:t>materials which may be consumed in de</w:t>
            </w:r>
            <w:r w:rsidRPr="00C243B0">
              <w:t>livering a service (e.g. fuel, energy and other consumables).</w:t>
            </w:r>
          </w:p>
          <w:p w:rsidR="00000000" w:rsidP="00C243B0">
            <w:pPr>
              <w:pStyle w:val="BodyText"/>
              <w:rPr>
                <w:lang w:val="en-NZ"/>
              </w:rPr>
            </w:pPr>
          </w:p>
        </w:tc>
      </w:tr>
      <w:tr w:rsidTr="00C243B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C243B0">
            <w:pPr>
              <w:pStyle w:val="BodyText"/>
              <w:rPr>
                <w:lang w:val="en-NZ"/>
              </w:rPr>
            </w:pPr>
            <w:r w:rsidRPr="00C243B0">
              <w:rPr>
                <w:rStyle w:val="SpecialBold"/>
              </w:rPr>
              <w:t>Emissions include one or more of</w:t>
            </w:r>
          </w:p>
        </w:tc>
        <w:tc>
          <w:tcPr>
            <w:tcW w:w="6802" w:type="dxa"/>
            <w:tcBorders>
              <w:top w:val="nil"/>
              <w:left w:val="nil"/>
              <w:bottom w:val="nil"/>
              <w:right w:val="nil"/>
            </w:tcBorders>
            <w:tcMar>
              <w:top w:w="0" w:type="dxa"/>
              <w:left w:w="62" w:type="dxa"/>
              <w:bottom w:w="0" w:type="dxa"/>
              <w:right w:w="62" w:type="dxa"/>
            </w:tcMar>
          </w:tcPr>
          <w:p w:rsidR="00000000" w:rsidRPr="00C243B0" w:rsidP="00C243B0">
            <w:pPr>
              <w:pStyle w:val="ListBullet"/>
            </w:pPr>
            <w:r w:rsidRPr="00C243B0">
              <w:t>fluid leaving the process, other than as part of the product</w:t>
            </w:r>
          </w:p>
          <w:p w:rsidR="00000000" w:rsidRPr="00C243B0" w:rsidP="00C243B0">
            <w:pPr>
              <w:pStyle w:val="ListBullet"/>
            </w:pPr>
            <w:r w:rsidRPr="00C243B0">
              <w:t>solid leaving the process, other than as part of the product</w:t>
            </w:r>
          </w:p>
          <w:p w:rsidR="00000000" w:rsidRPr="00C243B0" w:rsidP="00C243B0">
            <w:pPr>
              <w:pStyle w:val="ListBullet"/>
            </w:pPr>
            <w:r w:rsidRPr="00C243B0">
              <w:t>material leaving in waste streams or entering the process but not leaving as part of the product.</w:t>
            </w:r>
          </w:p>
          <w:p w:rsidR="00000000" w:rsidRPr="00C243B0" w:rsidP="00C243B0">
            <w:pPr>
              <w:pStyle w:val="BodyText"/>
            </w:pPr>
          </w:p>
        </w:tc>
      </w:tr>
    </w:tbl>
    <w:p w:rsidR="00000000" w:rsidRPr="00C243B0" w:rsidP="00C243B0">
      <w:pPr>
        <w:pStyle w:val="BodyText"/>
      </w:pPr>
    </w:p>
    <w:p w:rsidR="00000000" w:rsidRPr="00C243B0" w:rsidP="00C243B0">
      <w:pPr>
        <w:pStyle w:val="AllowPageBreak"/>
      </w:pPr>
    </w:p>
    <w:p w:rsidR="00000000" w:rsidRPr="00C243B0" w:rsidP="00C243B0">
      <w:pPr>
        <w:pStyle w:val="Heading1"/>
      </w:pPr>
      <w:bookmarkStart w:id="9" w:name="O_923135"/>
      <w:bookmarkEnd w:id="9"/>
      <w:r w:rsidRPr="00C243B0">
        <w:t>Unit Mapping Information</w:t>
      </w:r>
    </w:p>
    <w:p w:rsidR="00000000" w:rsidRPr="00C243B0" w:rsidP="00C243B0">
      <w:pPr>
        <w:pStyle w:val="BodyText"/>
      </w:pPr>
      <w:r w:rsidRPr="00C243B0">
        <w:t xml:space="preserve">Release 1. Supersedes and is equivalent to MSS015012A Conduct an emissions audit. </w:t>
      </w:r>
    </w:p>
    <w:p w:rsidR="00000000" w:rsidRPr="00C243B0" w:rsidP="00C243B0">
      <w:pPr>
        <w:pStyle w:val="AllowPageBreak"/>
      </w:pPr>
    </w:p>
    <w:p w:rsidR="00000000" w:rsidRPr="00C243B0" w:rsidP="00C243B0">
      <w:pPr>
        <w:pStyle w:val="Heading1"/>
      </w:pPr>
      <w:bookmarkStart w:id="10" w:name="O_923128"/>
      <w:bookmarkEnd w:id="10"/>
      <w:r w:rsidRPr="00C243B0">
        <w:t>Links</w:t>
      </w:r>
    </w:p>
    <w:p w:rsidR="00000000" w:rsidRPr="00C243B0" w:rsidP="00C243B0">
      <w:pPr>
        <w:pStyle w:val="BodyText"/>
      </w:pPr>
      <w:r w:rsidRPr="00C243B0">
        <w:t>MSA Tra</w:t>
      </w:r>
      <w:r w:rsidRPr="00C243B0">
        <w:t>ining Package Implementation Guides - http://mskills.org.au/training-packages/info/</w:t>
      </w:r>
    </w:p>
    <w:p w:rsidR="00000000" w:rsidRPr="00C243B0" w:rsidP="00C243B0"/>
    <w:sectPr w:rsidSect="00C243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3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3B0" w:rsidRPr="00F118F1" w:rsidP="00F118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3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8F1" w:rsidP="00C243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118F1" w:rsidP="00C243B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118F1" w:rsidP="00C243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3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3B0" w:rsidRPr="00F118F1" w:rsidP="00F118F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3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8F1" w:rsidRPr="002D2AF8" w:rsidP="00C243B0">
    <w:pPr>
      <w:pStyle w:val="Header"/>
      <w:framePr w:wrap="around"/>
    </w:pPr>
    <w:r>
      <w:fldChar w:fldCharType="begin"/>
    </w:r>
    <w:r>
      <w:instrText xml:space="preserve"> TITLE   \* MERGEFORMAT </w:instrText>
    </w:r>
    <w:r>
      <w:fldChar w:fldCharType="separate"/>
    </w:r>
    <w:r>
      <w:t>MSS015012 Conduct an emissions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F118F1" w:rsidP="00C243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BABC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9667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3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43B0"/>
    <w:pPr>
      <w:spacing w:before="360" w:after="60"/>
      <w:outlineLvl w:val="0"/>
    </w:pPr>
    <w:rPr>
      <w:sz w:val="32"/>
    </w:rPr>
  </w:style>
  <w:style w:type="paragraph" w:styleId="Heading2">
    <w:name w:val="heading 2"/>
    <w:basedOn w:val="HeadingBase"/>
    <w:next w:val="BodyText"/>
    <w:link w:val="Heading2Char"/>
    <w:qFormat/>
    <w:rsid w:val="00C243B0"/>
    <w:pPr>
      <w:keepLines/>
      <w:spacing w:before="240" w:after="120"/>
      <w:outlineLvl w:val="1"/>
    </w:pPr>
    <w:rPr>
      <w:sz w:val="28"/>
      <w:szCs w:val="40"/>
    </w:rPr>
  </w:style>
  <w:style w:type="paragraph" w:styleId="Heading3">
    <w:name w:val="heading 3"/>
    <w:basedOn w:val="HeadingBase"/>
    <w:next w:val="BodyText"/>
    <w:link w:val="Heading3Char"/>
    <w:qFormat/>
    <w:rsid w:val="00C243B0"/>
    <w:pPr>
      <w:spacing w:before="180" w:after="120"/>
      <w:outlineLvl w:val="2"/>
    </w:pPr>
    <w:rPr>
      <w:spacing w:val="-10"/>
      <w:kern w:val="32"/>
    </w:rPr>
  </w:style>
  <w:style w:type="paragraph" w:styleId="Heading4">
    <w:name w:val="heading 4"/>
    <w:basedOn w:val="HeadingBase"/>
    <w:next w:val="BodyText"/>
    <w:link w:val="Heading4Char"/>
    <w:qFormat/>
    <w:rsid w:val="00C243B0"/>
    <w:pPr>
      <w:spacing w:before="160" w:after="120"/>
      <w:outlineLvl w:val="3"/>
    </w:pPr>
    <w:rPr>
      <w:sz w:val="22"/>
    </w:rPr>
  </w:style>
  <w:style w:type="paragraph" w:styleId="Heading5">
    <w:name w:val="heading 5"/>
    <w:basedOn w:val="HeadingBase"/>
    <w:next w:val="Normal"/>
    <w:link w:val="Heading5Char"/>
    <w:qFormat/>
    <w:rsid w:val="00C243B0"/>
    <w:pPr>
      <w:spacing w:before="80"/>
      <w:outlineLvl w:val="4"/>
    </w:pPr>
    <w:rPr>
      <w:color w:val="918585"/>
      <w:sz w:val="20"/>
    </w:rPr>
  </w:style>
  <w:style w:type="paragraph" w:styleId="Heading6">
    <w:name w:val="heading 6"/>
    <w:basedOn w:val="HeadingBase"/>
    <w:next w:val="Normal"/>
    <w:link w:val="Heading6Char"/>
    <w:qFormat/>
    <w:rsid w:val="00C243B0"/>
    <w:pPr>
      <w:spacing w:before="60"/>
      <w:outlineLvl w:val="5"/>
    </w:pPr>
    <w:rPr>
      <w:color w:val="918585"/>
      <w:sz w:val="20"/>
    </w:rPr>
  </w:style>
  <w:style w:type="paragraph" w:styleId="Heading7">
    <w:name w:val="heading 7"/>
    <w:basedOn w:val="Normal"/>
    <w:next w:val="Normal"/>
    <w:link w:val="Heading7Char"/>
    <w:qFormat/>
    <w:rsid w:val="00C243B0"/>
    <w:pPr>
      <w:ind w:left="720"/>
      <w:outlineLvl w:val="6"/>
    </w:pPr>
    <w:rPr>
      <w:i/>
    </w:rPr>
  </w:style>
  <w:style w:type="paragraph" w:styleId="Heading8">
    <w:name w:val="heading 8"/>
    <w:basedOn w:val="Normal"/>
    <w:next w:val="Normal"/>
    <w:link w:val="Heading8Char"/>
    <w:qFormat/>
    <w:rsid w:val="00C243B0"/>
    <w:pPr>
      <w:ind w:left="720"/>
      <w:outlineLvl w:val="7"/>
    </w:pPr>
    <w:rPr>
      <w:i/>
    </w:rPr>
  </w:style>
  <w:style w:type="paragraph" w:styleId="Heading9">
    <w:name w:val="heading 9"/>
    <w:basedOn w:val="Normal"/>
    <w:next w:val="Normal"/>
    <w:link w:val="Heading9Char"/>
    <w:qFormat/>
    <w:rsid w:val="00C243B0"/>
    <w:pPr>
      <w:ind w:left="720"/>
      <w:outlineLvl w:val="8"/>
    </w:pPr>
    <w:rPr>
      <w:i/>
    </w:rPr>
  </w:style>
  <w:style w:type="character" w:default="1" w:styleId="DefaultParagraphFont">
    <w:name w:val="Default Paragraph Font"/>
    <w:uiPriority w:val="1"/>
    <w:unhideWhenUsed/>
    <w:rsid w:val="00C243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43B0"/>
  </w:style>
  <w:style w:type="character" w:customStyle="1" w:styleId="Heading1Char">
    <w:name w:val="Heading 1 Char"/>
    <w:basedOn w:val="DefaultParagraphFont"/>
    <w:link w:val="Heading1"/>
    <w:rsid w:val="00C243B0"/>
    <w:rPr>
      <w:rFonts w:ascii="Times New Roman" w:eastAsia="Times New Roman" w:hAnsi="Times New Roman" w:cs="Times New Roman"/>
      <w:b/>
      <w:sz w:val="32"/>
      <w:szCs w:val="20"/>
      <w:lang w:eastAsia="en-US"/>
    </w:rPr>
  </w:style>
  <w:style w:type="paragraph" w:styleId="BodyText">
    <w:name w:val="Body Text"/>
    <w:basedOn w:val="Normal"/>
    <w:link w:val="BodyTextChar"/>
    <w:rsid w:val="00C243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43B0"/>
    <w:rPr>
      <w:rFonts w:ascii="Times New Roman" w:eastAsia="Times New Roman" w:hAnsi="Times New Roman" w:cs="Times New Roman"/>
      <w:sz w:val="24"/>
      <w:lang w:eastAsia="en-US"/>
    </w:rPr>
  </w:style>
  <w:style w:type="paragraph" w:styleId="ListBullet">
    <w:name w:val="List Bullet"/>
    <w:basedOn w:val="List"/>
    <w:rsid w:val="00C243B0"/>
    <w:pPr>
      <w:numPr>
        <w:numId w:val="12"/>
      </w:numPr>
      <w:tabs>
        <w:tab w:val="clear" w:pos="340"/>
      </w:tabs>
      <w:spacing w:before="40" w:after="40"/>
    </w:pPr>
  </w:style>
  <w:style w:type="character" w:customStyle="1" w:styleId="SpecialBold">
    <w:name w:val="Special Bold"/>
    <w:basedOn w:val="DefaultParagraphFont"/>
    <w:rsid w:val="00C243B0"/>
    <w:rPr>
      <w:b/>
      <w:spacing w:val="0"/>
    </w:rPr>
  </w:style>
  <w:style w:type="paragraph" w:customStyle="1" w:styleId="SuperHeading">
    <w:name w:val="SuperHeading"/>
    <w:basedOn w:val="Normal"/>
    <w:rsid w:val="00C243B0"/>
    <w:pPr>
      <w:spacing w:before="240" w:after="120"/>
      <w:outlineLvl w:val="0"/>
    </w:pPr>
    <w:rPr>
      <w:rFonts w:ascii="Times New Roman" w:hAnsi="Times New Roman"/>
      <w:b/>
      <w:sz w:val="32"/>
    </w:rPr>
  </w:style>
  <w:style w:type="paragraph" w:customStyle="1" w:styleId="AllowPageBreak">
    <w:name w:val="AllowPageBreak"/>
    <w:rsid w:val="00C243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43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43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43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43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43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43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43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43B0"/>
    <w:rPr>
      <w:rFonts w:ascii="Courier New" w:eastAsia="Times New Roman" w:hAnsi="Courier New" w:cs="Times New Roman"/>
      <w:i/>
      <w:szCs w:val="20"/>
      <w:lang w:eastAsia="en-US"/>
    </w:rPr>
  </w:style>
  <w:style w:type="paragraph" w:customStyle="1" w:styleId="HeadingBase">
    <w:name w:val="Heading Base"/>
    <w:rsid w:val="00C243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43B0"/>
    <w:pPr>
      <w:tabs>
        <w:tab w:val="right" w:leader="dot" w:pos="9072"/>
      </w:tabs>
      <w:ind w:left="567"/>
    </w:pPr>
    <w:rPr>
      <w:szCs w:val="22"/>
    </w:rPr>
  </w:style>
  <w:style w:type="paragraph" w:customStyle="1" w:styleId="TOCBase">
    <w:name w:val="TOC Base"/>
    <w:rsid w:val="00C243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43B0"/>
    <w:pPr>
      <w:tabs>
        <w:tab w:val="right" w:leader="dot" w:pos="9072"/>
      </w:tabs>
      <w:spacing w:before="40" w:after="40"/>
      <w:ind w:left="284"/>
    </w:pPr>
    <w:rPr>
      <w:rFonts w:ascii="Times New Roman" w:hAnsi="Times New Roman"/>
    </w:rPr>
  </w:style>
  <w:style w:type="paragraph" w:styleId="TOC1">
    <w:name w:val="toc 1"/>
    <w:basedOn w:val="TOCBase"/>
    <w:next w:val="Normal"/>
    <w:rsid w:val="00C243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43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43B0"/>
    <w:rPr>
      <w:rFonts w:ascii="Times New Roman" w:eastAsia="Times New Roman" w:hAnsi="Times New Roman" w:cs="Times New Roman"/>
      <w:sz w:val="16"/>
      <w:lang w:eastAsia="en-US"/>
    </w:rPr>
  </w:style>
  <w:style w:type="paragraph" w:styleId="Title">
    <w:name w:val="Title"/>
    <w:basedOn w:val="HeadingBase"/>
    <w:link w:val="TitleChar"/>
    <w:qFormat/>
    <w:rsid w:val="00C243B0"/>
    <w:pPr>
      <w:spacing w:before="5040"/>
      <w:jc w:val="center"/>
    </w:pPr>
    <w:rPr>
      <w:sz w:val="48"/>
      <w:szCs w:val="72"/>
      <w:lang w:val="en-US"/>
    </w:rPr>
  </w:style>
  <w:style w:type="character" w:customStyle="1" w:styleId="TitleChar">
    <w:name w:val="Title Char"/>
    <w:basedOn w:val="DefaultParagraphFont"/>
    <w:link w:val="Title"/>
    <w:rsid w:val="00C243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43B0"/>
    <w:pPr>
      <w:tabs>
        <w:tab w:val="left" w:pos="3600"/>
        <w:tab w:val="left" w:pos="3958"/>
      </w:tabs>
    </w:pPr>
  </w:style>
  <w:style w:type="paragraph" w:styleId="List">
    <w:name w:val="List"/>
    <w:basedOn w:val="BodyText"/>
    <w:next w:val="BodyText"/>
    <w:rsid w:val="00C243B0"/>
    <w:pPr>
      <w:tabs>
        <w:tab w:val="left" w:pos="340"/>
      </w:tabs>
      <w:spacing w:before="60" w:after="60"/>
      <w:ind w:left="340" w:hanging="340"/>
    </w:pPr>
  </w:style>
  <w:style w:type="paragraph" w:customStyle="1" w:styleId="Note">
    <w:name w:val="Note"/>
    <w:basedOn w:val="BodyText"/>
    <w:rsid w:val="00C243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43B0"/>
    <w:pPr>
      <w:framePr w:wrap="auto" w:hAnchor="text" w:y="6049"/>
    </w:pPr>
    <w:rPr>
      <w:color w:val="000000"/>
      <w:sz w:val="40"/>
    </w:rPr>
  </w:style>
  <w:style w:type="paragraph" w:customStyle="1" w:styleId="TOCTitle">
    <w:name w:val="TOCTitle"/>
    <w:basedOn w:val="Heading1"/>
    <w:rsid w:val="00C243B0"/>
    <w:pPr>
      <w:spacing w:after="240"/>
      <w:jc w:val="center"/>
      <w:outlineLvl w:val="9"/>
    </w:pPr>
    <w:rPr>
      <w:caps/>
    </w:rPr>
  </w:style>
  <w:style w:type="paragraph" w:customStyle="1" w:styleId="Version">
    <w:name w:val="Version"/>
    <w:rsid w:val="00C243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43B0"/>
    <w:pPr>
      <w:numPr>
        <w:numId w:val="13"/>
      </w:numPr>
      <w:tabs>
        <w:tab w:val="clear" w:pos="680"/>
      </w:tabs>
    </w:pPr>
  </w:style>
  <w:style w:type="paragraph" w:styleId="Index1">
    <w:name w:val="index 1"/>
    <w:basedOn w:val="Normal"/>
    <w:next w:val="Normal"/>
    <w:semiHidden/>
    <w:rsid w:val="00C243B0"/>
    <w:pPr>
      <w:keepNext w:val="0"/>
      <w:tabs>
        <w:tab w:val="right" w:pos="4176"/>
      </w:tabs>
      <w:ind w:left="198" w:hanging="198"/>
    </w:pPr>
    <w:rPr>
      <w:rFonts w:ascii="Garamond" w:hAnsi="Garamond"/>
    </w:rPr>
  </w:style>
  <w:style w:type="paragraph" w:styleId="IndexHeading">
    <w:name w:val="index heading"/>
    <w:basedOn w:val="Normal"/>
    <w:next w:val="Index1"/>
    <w:semiHidden/>
    <w:rsid w:val="00C243B0"/>
    <w:pPr>
      <w:spacing w:before="120" w:after="120"/>
    </w:pPr>
    <w:rPr>
      <w:rFonts w:ascii="Arial" w:hAnsi="Arial"/>
      <w:b/>
      <w:color w:val="918585"/>
      <w:sz w:val="24"/>
    </w:rPr>
  </w:style>
  <w:style w:type="paragraph" w:styleId="Header">
    <w:name w:val="header"/>
    <w:basedOn w:val="Normal"/>
    <w:link w:val="HeaderChar"/>
    <w:rsid w:val="00C243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43B0"/>
    <w:rPr>
      <w:rFonts w:ascii="Times New Roman" w:eastAsia="Times New Roman" w:hAnsi="Times New Roman" w:cs="Times New Roman"/>
      <w:sz w:val="16"/>
      <w:szCs w:val="20"/>
      <w:lang w:val="en-GB" w:eastAsia="en-US"/>
    </w:rPr>
  </w:style>
  <w:style w:type="paragraph" w:customStyle="1" w:styleId="Chapter">
    <w:name w:val="Chapter"/>
    <w:basedOn w:val="Normal"/>
    <w:rsid w:val="00C243B0"/>
    <w:pPr>
      <w:spacing w:before="240"/>
    </w:pPr>
    <w:rPr>
      <w:rFonts w:ascii="Times New Roman" w:hAnsi="Times New Roman"/>
      <w:smallCaps/>
      <w:spacing w:val="80"/>
      <w:sz w:val="28"/>
    </w:rPr>
  </w:style>
  <w:style w:type="paragraph" w:customStyle="1" w:styleId="InChapter">
    <w:name w:val="InChapter"/>
    <w:basedOn w:val="Heading3"/>
    <w:rsid w:val="00C243B0"/>
    <w:pPr>
      <w:spacing w:after="240"/>
      <w:outlineLvl w:val="9"/>
    </w:pPr>
    <w:rPr>
      <w:noProof/>
    </w:rPr>
  </w:style>
  <w:style w:type="paragraph" w:styleId="Index2">
    <w:name w:val="index 2"/>
    <w:basedOn w:val="Normal"/>
    <w:next w:val="Normal"/>
    <w:semiHidden/>
    <w:rsid w:val="00C243B0"/>
    <w:pPr>
      <w:tabs>
        <w:tab w:val="right" w:pos="4176"/>
      </w:tabs>
      <w:ind w:left="568" w:hanging="284"/>
    </w:pPr>
    <w:rPr>
      <w:rFonts w:ascii="Garamond" w:hAnsi="Garamond"/>
    </w:rPr>
  </w:style>
  <w:style w:type="paragraph" w:customStyle="1" w:styleId="Byline">
    <w:name w:val="Byline"/>
    <w:rsid w:val="00C243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43B0"/>
    <w:pPr>
      <w:tabs>
        <w:tab w:val="clear" w:pos="3600"/>
        <w:tab w:val="clear" w:pos="3958"/>
      </w:tabs>
      <w:jc w:val="right"/>
    </w:pPr>
  </w:style>
  <w:style w:type="character" w:styleId="Emphasis">
    <w:name w:val="Emphasis"/>
    <w:basedOn w:val="DefaultParagraphFont"/>
    <w:qFormat/>
    <w:rsid w:val="00C243B0"/>
    <w:rPr>
      <w:i/>
    </w:rPr>
  </w:style>
  <w:style w:type="paragraph" w:styleId="Caption">
    <w:name w:val="caption"/>
    <w:basedOn w:val="BodyText"/>
    <w:next w:val="Normal"/>
    <w:qFormat/>
    <w:rsid w:val="00C243B0"/>
    <w:pPr>
      <w:framePr w:w="2268" w:hSpace="181" w:vSpace="181" w:wrap="around" w:vAnchor="text" w:hAnchor="page" w:x="1135" w:y="285" w:anchorLock="1"/>
    </w:pPr>
    <w:rPr>
      <w:i/>
    </w:rPr>
  </w:style>
  <w:style w:type="paragraph" w:customStyle="1" w:styleId="MiniTOCTitle">
    <w:name w:val="MiniTOCTitle"/>
    <w:basedOn w:val="Heading4"/>
    <w:rsid w:val="00C243B0"/>
    <w:pPr>
      <w:spacing w:before="240"/>
      <w:outlineLvl w:val="9"/>
    </w:pPr>
    <w:rPr>
      <w:noProof/>
      <w:sz w:val="24"/>
    </w:rPr>
  </w:style>
  <w:style w:type="paragraph" w:customStyle="1" w:styleId="MiniTOCItem">
    <w:name w:val="MiniTOCItem"/>
    <w:basedOn w:val="ListBullet"/>
    <w:rsid w:val="00C243B0"/>
    <w:pPr>
      <w:numPr>
        <w:numId w:val="0"/>
      </w:numPr>
      <w:tabs>
        <w:tab w:val="right" w:leader="dot" w:pos="6521"/>
      </w:tabs>
      <w:spacing w:before="0" w:after="0"/>
    </w:pPr>
  </w:style>
  <w:style w:type="paragraph" w:customStyle="1" w:styleId="TOFTitle">
    <w:name w:val="TOFTitle"/>
    <w:basedOn w:val="TOCTitle"/>
    <w:rsid w:val="00C243B0"/>
  </w:style>
  <w:style w:type="paragraph" w:styleId="TableofFigures">
    <w:name w:val="table of figures"/>
    <w:basedOn w:val="Normal"/>
    <w:next w:val="Normal"/>
    <w:semiHidden/>
    <w:rsid w:val="00C243B0"/>
    <w:pPr>
      <w:tabs>
        <w:tab w:val="right" w:leader="dot" w:pos="9072"/>
      </w:tabs>
      <w:ind w:left="970" w:hanging="403"/>
    </w:pPr>
    <w:rPr>
      <w:rFonts w:ascii="Times New Roman" w:hAnsi="Times New Roman"/>
      <w:b/>
    </w:rPr>
  </w:style>
  <w:style w:type="paragraph" w:styleId="ListNumber">
    <w:name w:val="List Number"/>
    <w:basedOn w:val="List"/>
    <w:rsid w:val="00C243B0"/>
    <w:pPr>
      <w:numPr>
        <w:numId w:val="10"/>
      </w:numPr>
    </w:pPr>
  </w:style>
  <w:style w:type="character" w:customStyle="1" w:styleId="WingdingSymbols">
    <w:name w:val="Wingding Symbols"/>
    <w:rsid w:val="00C243B0"/>
    <w:rPr>
      <w:rFonts w:ascii="Wingdings" w:hAnsi="Wingdings"/>
    </w:rPr>
  </w:style>
  <w:style w:type="paragraph" w:customStyle="1" w:styleId="TableHeading">
    <w:name w:val="Table Heading"/>
    <w:basedOn w:val="HeadingBase"/>
    <w:rsid w:val="00C243B0"/>
    <w:pPr>
      <w:keepLines/>
      <w:pBdr>
        <w:bottom w:val="single" w:sz="6" w:space="1" w:color="918585"/>
      </w:pBdr>
      <w:spacing w:before="240"/>
    </w:pPr>
  </w:style>
  <w:style w:type="character" w:customStyle="1" w:styleId="HotSpot">
    <w:name w:val="HotSpot"/>
    <w:rsid w:val="00C243B0"/>
    <w:rPr>
      <w:color w:val="0033CC"/>
      <w:u w:val="none"/>
    </w:rPr>
  </w:style>
  <w:style w:type="paragraph" w:customStyle="1" w:styleId="BodyTextRight">
    <w:name w:val="Body Text Right"/>
    <w:basedOn w:val="BodyText"/>
    <w:rsid w:val="00C243B0"/>
    <w:pPr>
      <w:spacing w:before="0" w:after="0"/>
      <w:jc w:val="right"/>
    </w:pPr>
  </w:style>
  <w:style w:type="paragraph" w:styleId="Index3">
    <w:name w:val="index 3"/>
    <w:basedOn w:val="ListNumber2"/>
    <w:next w:val="Normal"/>
    <w:semiHidden/>
    <w:rsid w:val="00C243B0"/>
    <w:pPr>
      <w:numPr>
        <w:numId w:val="0"/>
      </w:numPr>
      <w:tabs>
        <w:tab w:val="right" w:leader="dot" w:pos="4176"/>
      </w:tabs>
    </w:pPr>
  </w:style>
  <w:style w:type="paragraph" w:styleId="ListNumber2">
    <w:name w:val="List Number 2"/>
    <w:basedOn w:val="List2"/>
    <w:rsid w:val="00C243B0"/>
    <w:pPr>
      <w:numPr>
        <w:numId w:val="9"/>
      </w:numPr>
      <w:tabs>
        <w:tab w:val="clear" w:pos="1060"/>
      </w:tabs>
    </w:pPr>
  </w:style>
  <w:style w:type="paragraph" w:customStyle="1" w:styleId="MarginNote">
    <w:name w:val="Margin Note"/>
    <w:basedOn w:val="BodyText"/>
    <w:rsid w:val="00C243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43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43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43B0"/>
    <w:rPr>
      <w:sz w:val="32"/>
    </w:rPr>
  </w:style>
  <w:style w:type="paragraph" w:customStyle="1" w:styleId="HeadingProcedure">
    <w:name w:val="Heading Procedure"/>
    <w:basedOn w:val="HeadingBase"/>
    <w:next w:val="Normal"/>
    <w:rsid w:val="00C243B0"/>
    <w:pPr>
      <w:tabs>
        <w:tab w:val="left" w:pos="0"/>
      </w:tabs>
      <w:spacing w:before="120" w:after="60"/>
    </w:pPr>
    <w:rPr>
      <w:i/>
      <w:color w:val="918585"/>
      <w:sz w:val="22"/>
    </w:rPr>
  </w:style>
  <w:style w:type="paragraph" w:customStyle="1" w:styleId="TableBodyText">
    <w:name w:val="Table Body Text"/>
    <w:basedOn w:val="BodyText"/>
    <w:rsid w:val="00C243B0"/>
    <w:pPr>
      <w:spacing w:before="60" w:after="60"/>
    </w:pPr>
  </w:style>
  <w:style w:type="paragraph" w:styleId="ListContinue">
    <w:name w:val="List Continue"/>
    <w:basedOn w:val="List"/>
    <w:rsid w:val="00C243B0"/>
    <w:pPr>
      <w:ind w:firstLine="0"/>
    </w:pPr>
  </w:style>
  <w:style w:type="paragraph" w:customStyle="1" w:styleId="ListNote">
    <w:name w:val="List Note"/>
    <w:basedOn w:val="List"/>
    <w:rsid w:val="00C243B0"/>
    <w:pPr>
      <w:pBdr>
        <w:top w:val="single" w:sz="6" w:space="2" w:color="918585"/>
        <w:bottom w:val="single" w:sz="6" w:space="2" w:color="918585"/>
      </w:pBdr>
      <w:tabs>
        <w:tab w:val="left" w:pos="1021"/>
      </w:tabs>
      <w:ind w:firstLine="0"/>
    </w:pPr>
  </w:style>
  <w:style w:type="paragraph" w:customStyle="1" w:styleId="Warning">
    <w:name w:val="Warning"/>
    <w:basedOn w:val="BodyText"/>
    <w:rsid w:val="00C243B0"/>
    <w:pPr>
      <w:shd w:val="clear" w:color="auto" w:fill="D9D9D9"/>
      <w:tabs>
        <w:tab w:val="left" w:pos="992"/>
      </w:tabs>
      <w:ind w:left="119" w:right="119"/>
    </w:pPr>
    <w:rPr>
      <w:sz w:val="20"/>
    </w:rPr>
  </w:style>
  <w:style w:type="paragraph" w:customStyle="1" w:styleId="MarginIcons">
    <w:name w:val="Margin Icons"/>
    <w:basedOn w:val="BodyText"/>
    <w:rsid w:val="00C243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43B0"/>
    <w:rPr>
      <w:rFonts w:ascii="Courier New" w:hAnsi="Courier New"/>
    </w:rPr>
  </w:style>
  <w:style w:type="paragraph" w:customStyle="1" w:styleId="NoteBullet">
    <w:name w:val="Note Bullet"/>
    <w:basedOn w:val="Note"/>
    <w:rsid w:val="00C243B0"/>
    <w:pPr>
      <w:tabs>
        <w:tab w:val="clear" w:pos="680"/>
      </w:tabs>
      <w:spacing w:before="60" w:after="60"/>
    </w:pPr>
  </w:style>
  <w:style w:type="paragraph" w:customStyle="1" w:styleId="SubHeading2">
    <w:name w:val="SubHeading2"/>
    <w:basedOn w:val="HeadingBase"/>
    <w:rsid w:val="00C243B0"/>
    <w:pPr>
      <w:spacing w:before="240" w:after="60"/>
    </w:pPr>
    <w:rPr>
      <w:sz w:val="20"/>
    </w:rPr>
  </w:style>
  <w:style w:type="paragraph" w:customStyle="1" w:styleId="SubHeading1">
    <w:name w:val="SubHeading1"/>
    <w:basedOn w:val="HeadingBase"/>
    <w:rsid w:val="00C243B0"/>
    <w:pPr>
      <w:spacing w:before="240" w:after="60"/>
    </w:pPr>
    <w:rPr>
      <w:color w:val="918585"/>
      <w:sz w:val="22"/>
    </w:rPr>
  </w:style>
  <w:style w:type="paragraph" w:customStyle="1" w:styleId="SideHeading">
    <w:name w:val="Side Heading"/>
    <w:basedOn w:val="HeadingBase"/>
    <w:rsid w:val="00C243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43B0"/>
    <w:pPr>
      <w:tabs>
        <w:tab w:val="num" w:pos="360"/>
      </w:tabs>
    </w:pPr>
  </w:style>
  <w:style w:type="paragraph" w:styleId="PlainText">
    <w:name w:val="Plain Text"/>
    <w:basedOn w:val="Normal"/>
    <w:link w:val="PlainTextChar"/>
    <w:rsid w:val="00C243B0"/>
    <w:rPr>
      <w:sz w:val="20"/>
    </w:rPr>
  </w:style>
  <w:style w:type="character" w:customStyle="1" w:styleId="PlainTextChar">
    <w:name w:val="Plain Text Char"/>
    <w:basedOn w:val="DefaultParagraphFont"/>
    <w:link w:val="PlainText"/>
    <w:rsid w:val="00C243B0"/>
    <w:rPr>
      <w:rFonts w:ascii="Courier New" w:eastAsia="Times New Roman" w:hAnsi="Courier New" w:cs="Times New Roman"/>
      <w:sz w:val="20"/>
      <w:szCs w:val="20"/>
      <w:lang w:eastAsia="en-US"/>
    </w:rPr>
  </w:style>
  <w:style w:type="character" w:customStyle="1" w:styleId="MenuOption">
    <w:name w:val="Menu Option"/>
    <w:basedOn w:val="DefaultParagraphFont"/>
    <w:rsid w:val="00C243B0"/>
    <w:rPr>
      <w:b/>
      <w:smallCaps/>
    </w:rPr>
  </w:style>
  <w:style w:type="paragraph" w:customStyle="1" w:styleId="TableListNumber">
    <w:name w:val="Table List Number"/>
    <w:basedOn w:val="ListNumber"/>
    <w:rsid w:val="00C243B0"/>
    <w:pPr>
      <w:numPr>
        <w:numId w:val="0"/>
      </w:numPr>
    </w:pPr>
  </w:style>
  <w:style w:type="paragraph" w:styleId="TOC4">
    <w:name w:val="toc 4"/>
    <w:basedOn w:val="TOCBase"/>
    <w:next w:val="Normal"/>
    <w:semiHidden/>
    <w:rsid w:val="00C243B0"/>
    <w:pPr>
      <w:tabs>
        <w:tab w:val="right" w:leader="dot" w:pos="9071"/>
      </w:tabs>
      <w:ind w:left="1701"/>
    </w:pPr>
  </w:style>
  <w:style w:type="paragraph" w:customStyle="1" w:styleId="ListAlpha">
    <w:name w:val="List Alpha"/>
    <w:basedOn w:val="List"/>
    <w:rsid w:val="00C243B0"/>
    <w:pPr>
      <w:numPr>
        <w:numId w:val="8"/>
      </w:numPr>
    </w:pPr>
  </w:style>
  <w:style w:type="paragraph" w:customStyle="1" w:styleId="ListAlpha2">
    <w:name w:val="List Alpha 2"/>
    <w:basedOn w:val="List2"/>
    <w:rsid w:val="00C243B0"/>
    <w:pPr>
      <w:numPr>
        <w:numId w:val="7"/>
      </w:numPr>
    </w:pPr>
  </w:style>
  <w:style w:type="paragraph" w:styleId="List2">
    <w:name w:val="List 2"/>
    <w:basedOn w:val="BodyText"/>
    <w:rsid w:val="00C243B0"/>
    <w:pPr>
      <w:tabs>
        <w:tab w:val="left" w:pos="680"/>
      </w:tabs>
      <w:spacing w:before="60" w:after="60"/>
      <w:ind w:left="680" w:hanging="340"/>
    </w:pPr>
  </w:style>
  <w:style w:type="paragraph" w:styleId="List3">
    <w:name w:val="List 3"/>
    <w:basedOn w:val="BodyText"/>
    <w:rsid w:val="00C243B0"/>
    <w:pPr>
      <w:tabs>
        <w:tab w:val="left" w:pos="1021"/>
      </w:tabs>
      <w:spacing w:before="60" w:after="60"/>
      <w:ind w:left="1020" w:hanging="340"/>
    </w:pPr>
  </w:style>
  <w:style w:type="paragraph" w:styleId="List4">
    <w:name w:val="List 4"/>
    <w:basedOn w:val="BodyText"/>
    <w:rsid w:val="00C243B0"/>
    <w:pPr>
      <w:tabs>
        <w:tab w:val="left" w:pos="1361"/>
      </w:tabs>
      <w:spacing w:before="60" w:after="60"/>
      <w:ind w:left="1361" w:hanging="340"/>
    </w:pPr>
  </w:style>
  <w:style w:type="paragraph" w:styleId="List5">
    <w:name w:val="List 5"/>
    <w:basedOn w:val="BodyText"/>
    <w:rsid w:val="00C243B0"/>
    <w:pPr>
      <w:tabs>
        <w:tab w:val="left" w:pos="1701"/>
      </w:tabs>
      <w:spacing w:before="60" w:after="60"/>
      <w:ind w:left="1701" w:hanging="340"/>
    </w:pPr>
  </w:style>
  <w:style w:type="paragraph" w:styleId="ListBullet3">
    <w:name w:val="List Bullet 3"/>
    <w:basedOn w:val="List3"/>
    <w:rsid w:val="00C243B0"/>
    <w:pPr>
      <w:numPr>
        <w:numId w:val="14"/>
      </w:numPr>
      <w:tabs>
        <w:tab w:val="clear" w:pos="1021"/>
      </w:tabs>
      <w:ind w:left="1037" w:hanging="357"/>
    </w:pPr>
  </w:style>
  <w:style w:type="paragraph" w:styleId="ListBullet4">
    <w:name w:val="List Bullet 4"/>
    <w:basedOn w:val="List4"/>
    <w:rsid w:val="00C243B0"/>
    <w:pPr>
      <w:numPr>
        <w:numId w:val="2"/>
      </w:numPr>
      <w:tabs>
        <w:tab w:val="clear" w:pos="1361"/>
      </w:tabs>
    </w:pPr>
  </w:style>
  <w:style w:type="paragraph" w:styleId="ListBullet5">
    <w:name w:val="List Bullet 5"/>
    <w:basedOn w:val="List5"/>
    <w:rsid w:val="00C243B0"/>
    <w:pPr>
      <w:numPr>
        <w:numId w:val="3"/>
      </w:numPr>
    </w:pPr>
  </w:style>
  <w:style w:type="paragraph" w:styleId="ListContinue2">
    <w:name w:val="List Continue 2"/>
    <w:basedOn w:val="List2"/>
    <w:rsid w:val="00C243B0"/>
    <w:pPr>
      <w:ind w:firstLine="0"/>
    </w:pPr>
  </w:style>
  <w:style w:type="paragraph" w:styleId="ListContinue3">
    <w:name w:val="List Continue 3"/>
    <w:basedOn w:val="List3"/>
    <w:rsid w:val="00C243B0"/>
    <w:pPr>
      <w:ind w:left="1021" w:firstLine="0"/>
    </w:pPr>
  </w:style>
  <w:style w:type="paragraph" w:styleId="ListContinue4">
    <w:name w:val="List Continue 4"/>
    <w:basedOn w:val="List4"/>
    <w:rsid w:val="00C243B0"/>
    <w:pPr>
      <w:ind w:firstLine="0"/>
    </w:pPr>
  </w:style>
  <w:style w:type="paragraph" w:styleId="ListContinue5">
    <w:name w:val="List Continue 5"/>
    <w:basedOn w:val="List5"/>
    <w:rsid w:val="00C243B0"/>
    <w:pPr>
      <w:ind w:firstLine="0"/>
    </w:pPr>
  </w:style>
  <w:style w:type="paragraph" w:styleId="ListNumber3">
    <w:name w:val="List Number 3"/>
    <w:basedOn w:val="List3"/>
    <w:rsid w:val="00C243B0"/>
    <w:pPr>
      <w:numPr>
        <w:numId w:val="4"/>
      </w:numPr>
    </w:pPr>
  </w:style>
  <w:style w:type="paragraph" w:styleId="ListNumber4">
    <w:name w:val="List Number 4"/>
    <w:basedOn w:val="List4"/>
    <w:rsid w:val="00C243B0"/>
    <w:pPr>
      <w:numPr>
        <w:numId w:val="5"/>
      </w:numPr>
    </w:pPr>
  </w:style>
  <w:style w:type="paragraph" w:styleId="ListNumber5">
    <w:name w:val="List Number 5"/>
    <w:basedOn w:val="List5"/>
    <w:rsid w:val="00C243B0"/>
    <w:pPr>
      <w:numPr>
        <w:numId w:val="6"/>
      </w:numPr>
    </w:pPr>
  </w:style>
  <w:style w:type="paragraph" w:styleId="BlockText">
    <w:name w:val="Block Text"/>
    <w:basedOn w:val="Normal"/>
    <w:rsid w:val="00C243B0"/>
    <w:pPr>
      <w:spacing w:after="120"/>
      <w:ind w:left="1440" w:right="1440"/>
    </w:pPr>
  </w:style>
  <w:style w:type="character" w:customStyle="1" w:styleId="Subscript">
    <w:name w:val="Subscript"/>
    <w:basedOn w:val="DefaultParagraphFont"/>
    <w:rsid w:val="00C243B0"/>
    <w:rPr>
      <w:sz w:val="16"/>
      <w:vertAlign w:val="subscript"/>
    </w:rPr>
  </w:style>
  <w:style w:type="character" w:customStyle="1" w:styleId="Superscript">
    <w:name w:val="Superscript"/>
    <w:basedOn w:val="DefaultParagraphFont"/>
    <w:rsid w:val="00C243B0"/>
    <w:rPr>
      <w:sz w:val="16"/>
      <w:vertAlign w:val="superscript"/>
    </w:rPr>
  </w:style>
  <w:style w:type="character" w:customStyle="1" w:styleId="Symbols">
    <w:name w:val="Symbols"/>
    <w:basedOn w:val="DefaultParagraphFont"/>
    <w:rsid w:val="00C243B0"/>
    <w:rPr>
      <w:rFonts w:ascii="Symbol" w:hAnsi="Symbol"/>
    </w:rPr>
  </w:style>
  <w:style w:type="character" w:customStyle="1" w:styleId="MenuOptions">
    <w:name w:val="Menu Options"/>
    <w:basedOn w:val="DefaultParagraphFont"/>
    <w:rsid w:val="00C243B0"/>
    <w:rPr>
      <w:rFonts w:ascii="Arial Narrow" w:hAnsi="Arial Narrow"/>
      <w:smallCaps/>
    </w:rPr>
  </w:style>
  <w:style w:type="character" w:customStyle="1" w:styleId="Buttons">
    <w:name w:val="Buttons"/>
    <w:basedOn w:val="DefaultParagraphFont"/>
    <w:rsid w:val="00C243B0"/>
    <w:rPr>
      <w:b/>
    </w:rPr>
  </w:style>
  <w:style w:type="character" w:customStyle="1" w:styleId="Underlined">
    <w:name w:val="Underlined"/>
    <w:basedOn w:val="DefaultParagraphFont"/>
    <w:rsid w:val="00C243B0"/>
    <w:rPr>
      <w:u w:val="single"/>
    </w:rPr>
  </w:style>
  <w:style w:type="paragraph" w:customStyle="1" w:styleId="TableBodyTextRight">
    <w:name w:val="Table Body Text Right"/>
    <w:basedOn w:val="TableBodyText"/>
    <w:rsid w:val="00C243B0"/>
    <w:pPr>
      <w:widowControl w:val="0"/>
      <w:autoSpaceDE w:val="0"/>
      <w:autoSpaceDN w:val="0"/>
      <w:adjustRightInd w:val="0"/>
      <w:jc w:val="right"/>
    </w:pPr>
    <w:rPr>
      <w:rFonts w:cs="Arial"/>
      <w:szCs w:val="18"/>
    </w:rPr>
  </w:style>
  <w:style w:type="paragraph" w:customStyle="1" w:styleId="CopyrightText">
    <w:name w:val="Copyright Text"/>
    <w:basedOn w:val="BodyText"/>
    <w:rsid w:val="00C243B0"/>
    <w:rPr>
      <w:sz w:val="18"/>
    </w:rPr>
  </w:style>
  <w:style w:type="paragraph" w:customStyle="1" w:styleId="BodySmallRight">
    <w:name w:val="Body Small Right"/>
    <w:basedOn w:val="BodyTextRight"/>
    <w:rsid w:val="00C243B0"/>
    <w:rPr>
      <w:sz w:val="18"/>
      <w:szCs w:val="18"/>
    </w:rPr>
  </w:style>
  <w:style w:type="paragraph" w:customStyle="1" w:styleId="MarginEdition">
    <w:name w:val="Margin Edition"/>
    <w:basedOn w:val="MarginNote"/>
    <w:rsid w:val="00C243B0"/>
    <w:pPr>
      <w:spacing w:before="0" w:after="0"/>
    </w:pPr>
    <w:rPr>
      <w:rFonts w:ascii="Times New Roman" w:hAnsi="Times New Roman"/>
      <w:color w:val="999999"/>
    </w:rPr>
  </w:style>
  <w:style w:type="paragraph" w:customStyle="1" w:styleId="Spacer">
    <w:name w:val="Spacer"/>
    <w:basedOn w:val="Normal"/>
    <w:rsid w:val="00C243B0"/>
    <w:rPr>
      <w:sz w:val="2"/>
      <w:szCs w:val="2"/>
    </w:rPr>
  </w:style>
  <w:style w:type="character" w:customStyle="1" w:styleId="Small">
    <w:name w:val="Small"/>
    <w:basedOn w:val="DefaultParagraphFont"/>
    <w:rsid w:val="00C243B0"/>
    <w:rPr>
      <w:sz w:val="16"/>
    </w:rPr>
  </w:style>
  <w:style w:type="paragraph" w:customStyle="1" w:styleId="WideTable">
    <w:name w:val="Wide Table"/>
    <w:basedOn w:val="Normal"/>
    <w:rsid w:val="00C243B0"/>
    <w:pPr>
      <w:ind w:left="-1418"/>
    </w:pPr>
    <w:rPr>
      <w:sz w:val="2"/>
      <w:szCs w:val="2"/>
    </w:rPr>
  </w:style>
  <w:style w:type="character" w:styleId="PageNumber">
    <w:name w:val="page number"/>
    <w:basedOn w:val="DefaultParagraphFont"/>
    <w:rsid w:val="00C243B0"/>
  </w:style>
  <w:style w:type="paragraph" w:styleId="Quote">
    <w:name w:val="Quote"/>
    <w:basedOn w:val="Heading1"/>
    <w:link w:val="QuoteChar"/>
    <w:qFormat/>
    <w:rsid w:val="00C243B0"/>
    <w:rPr>
      <w:b w:val="0"/>
      <w:sz w:val="72"/>
      <w:szCs w:val="72"/>
      <w:lang w:val="en-NZ"/>
    </w:rPr>
  </w:style>
  <w:style w:type="character" w:customStyle="1" w:styleId="QuoteChar">
    <w:name w:val="Quote Char"/>
    <w:basedOn w:val="DefaultParagraphFont"/>
    <w:link w:val="Quote"/>
    <w:rsid w:val="00C243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43B0"/>
    <w:pPr>
      <w:pageBreakBefore/>
    </w:pPr>
  </w:style>
  <w:style w:type="paragraph" w:customStyle="1" w:styleId="Border">
    <w:name w:val="Border"/>
    <w:basedOn w:val="Normal"/>
    <w:qFormat/>
    <w:rsid w:val="00C243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43B0"/>
    <w:rPr>
      <w:b/>
      <w:bCs/>
      <w:i/>
      <w:iCs/>
      <w:color w:val="auto"/>
    </w:rPr>
  </w:style>
  <w:style w:type="paragraph" w:styleId="IntenseQuote">
    <w:name w:val="Intense Quote"/>
    <w:basedOn w:val="Normal"/>
    <w:next w:val="Normal"/>
    <w:link w:val="IntenseQuoteChar"/>
    <w:uiPriority w:val="30"/>
    <w:qFormat/>
    <w:rsid w:val="00C243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43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43B0"/>
    <w:rPr>
      <w:smallCaps/>
      <w:color w:val="auto"/>
      <w:u w:val="single"/>
    </w:rPr>
  </w:style>
  <w:style w:type="character" w:styleId="IntenseReference">
    <w:name w:val="Intense Reference"/>
    <w:basedOn w:val="DefaultParagraphFont"/>
    <w:uiPriority w:val="32"/>
    <w:qFormat/>
    <w:rsid w:val="00C243B0"/>
    <w:rPr>
      <w:b/>
      <w:bCs/>
      <w:smallCaps/>
      <w:color w:val="auto"/>
      <w:spacing w:val="5"/>
      <w:u w:val="single"/>
    </w:rPr>
  </w:style>
  <w:style w:type="paragraph" w:customStyle="1" w:styleId="2ColumnHeading">
    <w:name w:val="2Column Heading"/>
    <w:basedOn w:val="BodyText"/>
    <w:qFormat/>
    <w:rsid w:val="00C243B0"/>
    <w:pPr>
      <w:spacing w:after="60"/>
      <w:ind w:left="-2268"/>
    </w:pPr>
    <w:rPr>
      <w:b/>
    </w:rPr>
  </w:style>
  <w:style w:type="paragraph" w:customStyle="1" w:styleId="Heading1TOC">
    <w:name w:val="Heading1 TOC"/>
    <w:basedOn w:val="Normal"/>
    <w:qFormat/>
    <w:rsid w:val="00C243B0"/>
    <w:pPr>
      <w:spacing w:before="240" w:after="120"/>
    </w:pPr>
    <w:rPr>
      <w:rFonts w:ascii="Times New Roman" w:hAnsi="Times New Roman"/>
      <w:b/>
      <w:sz w:val="32"/>
    </w:rPr>
  </w:style>
  <w:style w:type="paragraph" w:customStyle="1" w:styleId="Heading2TOC">
    <w:name w:val="Heading2 TOC"/>
    <w:basedOn w:val="Normal"/>
    <w:qFormat/>
    <w:rsid w:val="00C243B0"/>
    <w:pPr>
      <w:spacing w:before="240" w:after="60"/>
    </w:pPr>
    <w:rPr>
      <w:rFonts w:ascii="Times New Roman" w:hAnsi="Times New Roman"/>
      <w:b/>
      <w:sz w:val="28"/>
    </w:rPr>
  </w:style>
  <w:style w:type="character" w:customStyle="1" w:styleId="Underline">
    <w:name w:val="Underline"/>
    <w:basedOn w:val="DefaultParagraphFont"/>
    <w:qFormat/>
    <w:rsid w:val="00C243B0"/>
    <w:rPr>
      <w:u w:val="single"/>
    </w:rPr>
  </w:style>
  <w:style w:type="character" w:customStyle="1" w:styleId="BoldandItalics">
    <w:name w:val="Bold and Italics"/>
    <w:qFormat/>
    <w:rsid w:val="00C243B0"/>
    <w:rPr>
      <w:b/>
      <w:i/>
      <w:u w:val="none"/>
    </w:rPr>
  </w:style>
  <w:style w:type="paragraph" w:styleId="BalloonText">
    <w:name w:val="Balloon Text"/>
    <w:basedOn w:val="Normal"/>
    <w:link w:val="BalloonTextChar"/>
    <w:rsid w:val="00C243B0"/>
    <w:rPr>
      <w:rFonts w:ascii="Tahoma" w:hAnsi="Tahoma" w:cs="Tahoma"/>
      <w:sz w:val="16"/>
      <w:szCs w:val="16"/>
    </w:rPr>
  </w:style>
  <w:style w:type="character" w:customStyle="1" w:styleId="BalloonTextChar">
    <w:name w:val="Balloon Text Char"/>
    <w:basedOn w:val="DefaultParagraphFont"/>
    <w:link w:val="BalloonText"/>
    <w:rsid w:val="00C243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43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43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43B0"/>
    <w:rPr>
      <w:b/>
      <w:color w:val="660033"/>
      <w:spacing w:val="0"/>
    </w:rPr>
  </w:style>
  <w:style w:type="paragraph" w:customStyle="1" w:styleId="Nameditemlist">
    <w:name w:val="Named item list"/>
    <w:basedOn w:val="BodyText"/>
    <w:qFormat/>
    <w:rsid w:val="00C243B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701</Words>
  <Characters>4096</Characters>
  <Application>Microsoft Office Word</Application>
  <DocSecurity>0</DocSecurity>
  <Lines>187</Lines>
  <Paragraphs>86</Paragraphs>
  <ScaleCrop>false</ScaleCrop>
  <Company>Author-it Software Corporation Ltd.</Company>
  <LinksUpToDate>false</LinksUpToDate>
  <CharactersWithSpaces>4719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MSS015012 Conduct an emissions audit</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2016-06-22T09:04:00Z</dcterms:created>
  <dcterms:modified xsi:type="dcterms:W3CDTF">2016-06-22T09:04:00Z</dcterms:modified>
</cp:coreProperties>
</file>