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426" w:rsidP="00A02426">
      <w:pPr>
        <w:pStyle w:val="Title"/>
      </w:pPr>
      <w:r>
        <w:fldChar w:fldCharType="begin"/>
      </w:r>
      <w:r>
        <w:instrText xml:space="preserve"> TITLE   \* MERGEFORMAT </w:instrText>
      </w:r>
      <w:r>
        <w:fldChar w:fldCharType="separate"/>
      </w:r>
      <w:r>
        <w:t>MSS015012 Conduct an emissions audit</w:t>
      </w:r>
      <w:r>
        <w:fldChar w:fldCharType="end"/>
      </w:r>
    </w:p>
    <w:p w:rsidR="00A02426" w:rsidP="00A02426">
      <w:pPr>
        <w:pStyle w:val="Version"/>
        <w:sectPr w:rsidSect="00A62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7F7" w:rsidP="00A627F7">
      <w:pPr>
        <w:pStyle w:val="SuperHeading"/>
      </w:pPr>
      <w:r w:rsidRPr="00A627F7">
        <w:t>MSS015012 Conduct an emissions audit</w:t>
      </w:r>
    </w:p>
    <w:p w:rsidR="00000000" w:rsidRPr="00A627F7" w:rsidP="00A627F7">
      <w:pPr>
        <w:pStyle w:val="Heading1"/>
      </w:pPr>
      <w:bookmarkStart w:id="1" w:name="O_923134"/>
      <w:bookmarkEnd w:id="1"/>
      <w:r w:rsidRPr="00A627F7">
        <w:t>Modification History</w:t>
      </w:r>
    </w:p>
    <w:p w:rsidR="00000000" w:rsidRPr="00A627F7" w:rsidP="00A02426">
      <w:pPr>
        <w:pStyle w:val="BodyText"/>
      </w:pPr>
      <w:r w:rsidRPr="00A627F7">
        <w:t xml:space="preserve">Release 1. Supersedes and is equivalent to MSS015012A Conduct an emissions audit. </w:t>
      </w:r>
    </w:p>
    <w:p w:rsidR="00000000" w:rsidRPr="00A627F7" w:rsidP="00A627F7">
      <w:pPr>
        <w:pStyle w:val="Heading1"/>
      </w:pPr>
      <w:bookmarkStart w:id="2" w:name="O_923142"/>
      <w:bookmarkEnd w:id="2"/>
      <w:r w:rsidRPr="00A627F7">
        <w:t>Application</w:t>
      </w:r>
    </w:p>
    <w:p w:rsidR="00000000" w:rsidRPr="00A627F7" w:rsidP="00A02426">
      <w:pPr>
        <w:pStyle w:val="BodyText"/>
      </w:pPr>
      <w:r w:rsidRPr="00A627F7">
        <w:t>This unit of competency covers conducting an audit of emissions related to product or process in an organisation, or part o</w:t>
      </w:r>
      <w:r w:rsidRPr="00A627F7">
        <w:t>r all of the value chain.</w:t>
      </w:r>
    </w:p>
    <w:p w:rsidR="00000000" w:rsidRPr="00A627F7" w:rsidP="00A02426">
      <w:pPr>
        <w:pStyle w:val="BodyText"/>
      </w:pPr>
      <w:r w:rsidRPr="00A627F7">
        <w:t>This unit applies to auditing emissions inside organisations and their value chains (e.g. supplier of goods or services or customer). The unit has been developed with manufacturing operations as a focus. However, because of the r</w:t>
      </w:r>
      <w:r w:rsidRPr="00A627F7">
        <w:t xml:space="preserve">ange of organisations in a typical manufacturing value chain it may also be applied to other types of organisations. </w:t>
      </w:r>
    </w:p>
    <w:p w:rsidR="00000000" w:rsidRPr="00A627F7" w:rsidP="00A02426">
      <w:pPr>
        <w:pStyle w:val="BodyText"/>
      </w:pPr>
      <w:r w:rsidRPr="00A627F7">
        <w:t>The audit may be conducted to assist in regulatory compliance or as part of a strategy to improve the sustainability of manufacturing ope</w:t>
      </w:r>
      <w:r w:rsidRPr="00A627F7">
        <w:t>rations.</w:t>
      </w:r>
    </w:p>
    <w:p w:rsidR="00000000" w:rsidRPr="00A627F7" w:rsidP="00A02426">
      <w:pPr>
        <w:pStyle w:val="BodyText"/>
      </w:pPr>
      <w:r w:rsidRPr="00A627F7">
        <w:t>The emphasis in the unit is on informing decision making in regards to emissions using material balancing techniques. While the unit does not preclude actual measurement of emissions it does not cover the measurement/testing or other technical sk</w:t>
      </w:r>
      <w:r w:rsidRPr="00A627F7">
        <w:t>ills to undertake physical measurement of emissions or environmental impact of the emissions. However, there is a requirement to present and organise data. The complexity of this requirement will vary according to the type and scale of the organisation’s p</w:t>
      </w:r>
      <w:r w:rsidRPr="00A627F7">
        <w:t>rocesses.</w:t>
      </w:r>
    </w:p>
    <w:p w:rsidR="00000000" w:rsidRPr="00A627F7" w:rsidP="00A02426">
      <w:pPr>
        <w:pStyle w:val="BodyText"/>
      </w:pPr>
      <w:r w:rsidRPr="00A627F7">
        <w:t>A manager or technical specialist who has a major responsibility for sustainability as part of a broader work role would typically undertake this, or sustainability may be their primary work responsibility. The manager or technical specialist ma</w:t>
      </w:r>
      <w:r w:rsidRPr="00A627F7">
        <w:t>y undertake this alone or as part of a team.</w:t>
      </w:r>
    </w:p>
    <w:p w:rsidR="00000000" w:rsidRPr="00A627F7" w:rsidP="00A02426">
      <w:pPr>
        <w:pStyle w:val="BodyText"/>
      </w:pPr>
      <w:r w:rsidRPr="00A627F7">
        <w:t>No licensing, legislative or certification requirements apply to this unit at the time of publication.</w:t>
      </w:r>
    </w:p>
    <w:p w:rsidR="00000000" w:rsidRPr="00A627F7" w:rsidP="00A627F7">
      <w:pPr>
        <w:pStyle w:val="Heading1"/>
      </w:pPr>
      <w:bookmarkStart w:id="3" w:name="O_923141"/>
      <w:bookmarkEnd w:id="3"/>
      <w:r w:rsidRPr="00A627F7">
        <w:t>Pre-requisite Unit</w:t>
      </w:r>
    </w:p>
    <w:p w:rsidR="00000000" w:rsidRPr="00A627F7" w:rsidP="00A02426">
      <w:pPr>
        <w:pStyle w:val="BodyText"/>
      </w:pPr>
      <w:r w:rsidRPr="00A627F7">
        <w:t>Nil</w:t>
      </w:r>
    </w:p>
    <w:p w:rsidR="00000000" w:rsidRPr="00A627F7" w:rsidP="00A627F7">
      <w:pPr>
        <w:pStyle w:val="Heading1"/>
      </w:pPr>
      <w:bookmarkStart w:id="4" w:name="O_923140"/>
      <w:bookmarkEnd w:id="4"/>
      <w:r w:rsidRPr="00A627F7">
        <w:t>Competency Field</w:t>
      </w:r>
    </w:p>
    <w:p w:rsidR="00000000" w:rsidRPr="00A627F7" w:rsidP="00A02426">
      <w:pPr>
        <w:pStyle w:val="BodyText"/>
      </w:pPr>
      <w:r w:rsidRPr="00A627F7">
        <w:t>Sustainable operations</w:t>
      </w:r>
    </w:p>
    <w:p w:rsidR="00000000" w:rsidRPr="00A627F7" w:rsidP="00A627F7">
      <w:pPr>
        <w:pStyle w:val="Heading1"/>
      </w:pPr>
      <w:bookmarkStart w:id="5" w:name="O_923139"/>
      <w:bookmarkEnd w:id="5"/>
      <w:r w:rsidRPr="00A627F7">
        <w:t>Unit Sector</w:t>
      </w:r>
    </w:p>
    <w:p w:rsidR="00000000" w:rsidRPr="00A627F7" w:rsidP="00A02426">
      <w:pPr>
        <w:pStyle w:val="BodyText"/>
      </w:pPr>
      <w:r w:rsidRPr="00A627F7">
        <w:t>Not applicable</w:t>
      </w:r>
    </w:p>
    <w:p w:rsidR="00000000" w:rsidRPr="00A627F7" w:rsidP="00A627F7">
      <w:pPr>
        <w:pStyle w:val="Heading1"/>
      </w:pPr>
      <w:bookmarkStart w:id="6" w:name="O_923138"/>
      <w:bookmarkEnd w:id="6"/>
      <w:r w:rsidRPr="00A627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27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Performance criteria describe the performance needed to demonstrate achievement of the element.</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27F7" w:rsidP="00A627F7">
            <w:pPr>
              <w:pStyle w:val="BodyText"/>
            </w:pPr>
            <w:r w:rsidRPr="00A627F7">
              <w:t>1</w:t>
            </w:r>
          </w:p>
        </w:tc>
        <w:tc>
          <w:tcPr>
            <w:tcW w:w="1962" w:type="dxa"/>
            <w:vMerge w:val="restart"/>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Identify all sources and u</w:t>
            </w:r>
            <w:r w:rsidRPr="00A627F7">
              <w:rPr>
                <w:rStyle w:val="SpecialBold"/>
              </w:rPr>
              <w:t>ses of materials in process</w:t>
            </w: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1.1</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Identify all sources of materials external to the site.</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1.2</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Identify all sources of materials within the site, where appropriate.</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1.3</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Identify all uses of materials by the process overall.</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1.4</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Identify all uses of materials by each process unit.</w:t>
            </w:r>
          </w:p>
        </w:tc>
      </w:tr>
      <w:tr w:rsidTr="00A627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27F7">
            <w:pPr>
              <w:pStyle w:val="BodyText"/>
              <w:rPr>
                <w:lang w:val="en-NZ"/>
              </w:rPr>
            </w:pP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27F7" w:rsidP="00A627F7">
            <w:pPr>
              <w:pStyle w:val="BodyText"/>
            </w:pPr>
            <w:r w:rsidRPr="00A627F7">
              <w:t>2</w:t>
            </w:r>
          </w:p>
        </w:tc>
        <w:tc>
          <w:tcPr>
            <w:tcW w:w="1962" w:type="dxa"/>
            <w:vMerge w:val="restart"/>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Calculate theoretical use of the materials</w:t>
            </w: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2.1</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Calculate theoretical net consumption of material for each process unit.</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2.2</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Calculate overall material balance for process/site.</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2.3</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Evaluate the need for material consumption by process and units within the process compared to alternative processes/units.</w:t>
            </w:r>
          </w:p>
        </w:tc>
      </w:tr>
      <w:tr w:rsidTr="00A627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27F7">
            <w:pPr>
              <w:pStyle w:val="BodyText"/>
              <w:rPr>
                <w:lang w:val="en-NZ"/>
              </w:rPr>
            </w:pP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27F7" w:rsidP="00A627F7">
            <w:pPr>
              <w:pStyle w:val="BodyText"/>
            </w:pPr>
            <w:r w:rsidRPr="00A627F7">
              <w:t>3</w:t>
            </w:r>
          </w:p>
        </w:tc>
        <w:tc>
          <w:tcPr>
            <w:tcW w:w="1962" w:type="dxa"/>
            <w:vMerge w:val="restart"/>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Measure actual use of materials</w:t>
            </w: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3.1</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Determine actual net material consumption for overall process/site.</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3.2</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Determine actual net material consumption for each process unit.</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3.3</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Calculate difference between theoretical and actual material consumption by unit and overall.</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3.4</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Identify actual emissions by each process unit.</w:t>
            </w:r>
          </w:p>
        </w:tc>
      </w:tr>
      <w:tr w:rsidTr="00A627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27F7">
            <w:pPr>
              <w:pStyle w:val="BodyText"/>
              <w:rPr>
                <w:lang w:val="en-NZ"/>
              </w:rPr>
            </w:pP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27F7" w:rsidP="00A627F7">
            <w:pPr>
              <w:pStyle w:val="BodyText"/>
            </w:pPr>
            <w:r w:rsidRPr="00A627F7">
              <w:t>4</w:t>
            </w:r>
          </w:p>
        </w:tc>
        <w:tc>
          <w:tcPr>
            <w:tcW w:w="1962" w:type="dxa"/>
            <w:vMerge w:val="restart"/>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 xml:space="preserve">Develop strategies for reducing </w:t>
            </w:r>
            <w:r w:rsidRPr="00A627F7">
              <w:rPr>
                <w:rStyle w:val="SpecialBold"/>
              </w:rPr>
              <w:t>emissions</w:t>
            </w: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4.1</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Rank units by difference between theoretical and actual material consumption.</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4.2</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Rank units by actual material consumption.</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4.3</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Develop strategies to reduce material consumption.</w:t>
            </w:r>
          </w:p>
        </w:tc>
      </w:tr>
      <w:tr w:rsidTr="00A627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27F7">
            <w:pPr>
              <w:pStyle w:val="BodyText"/>
              <w:rPr>
                <w:lang w:val="en-NZ"/>
              </w:rPr>
            </w:pP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27F7" w:rsidP="00A627F7">
            <w:pPr>
              <w:pStyle w:val="BodyText"/>
            </w:pPr>
            <w:r w:rsidRPr="00A627F7">
              <w:t>5</w:t>
            </w:r>
          </w:p>
        </w:tc>
        <w:tc>
          <w:tcPr>
            <w:tcW w:w="1962" w:type="dxa"/>
            <w:vMerge w:val="restart"/>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Prepare a recommendation for an emissions reduction strategy</w:t>
            </w: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5.1</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Consult with key stakeholders.</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5.2</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Identify strategies required to meet regulatory or similar requirements.</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5.3</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Rank strategies by benefit/cost ratio.</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5.4</w:t>
            </w:r>
          </w:p>
        </w:tc>
        <w:tc>
          <w:tcPr>
            <w:tcW w:w="561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Short-list preferred emission reduction strategies.</w:t>
            </w:r>
          </w:p>
        </w:tc>
      </w:tr>
      <w:tr w:rsidTr="00A627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5.5</w:t>
            </w:r>
          </w:p>
        </w:tc>
        <w:tc>
          <w:tcPr>
            <w:tcW w:w="5610" w:type="dxa"/>
            <w:tcBorders>
              <w:top w:val="nil"/>
              <w:left w:val="nil"/>
              <w:bottom w:val="nil"/>
              <w:right w:val="nil"/>
            </w:tcBorders>
            <w:tcMar>
              <w:top w:w="0" w:type="dxa"/>
              <w:left w:w="62" w:type="dxa"/>
              <w:bottom w:w="0" w:type="dxa"/>
              <w:right w:w="62" w:type="dxa"/>
            </w:tcMar>
          </w:tcPr>
          <w:p w:rsidR="00000000" w:rsidRPr="00A627F7" w:rsidP="00A627F7">
            <w:pPr>
              <w:pStyle w:val="BodyText"/>
            </w:pPr>
            <w:r w:rsidRPr="00A627F7">
              <w:t>Prepare recommendation for reducing emissions.</w:t>
            </w:r>
          </w:p>
        </w:tc>
      </w:tr>
    </w:tbl>
    <w:p w:rsidR="00000000" w:rsidRPr="00A627F7" w:rsidP="00A627F7">
      <w:pPr>
        <w:pStyle w:val="BodyText"/>
      </w:pPr>
    </w:p>
    <w:p w:rsidR="00000000" w:rsidRPr="00A627F7" w:rsidP="00A627F7">
      <w:pPr>
        <w:pStyle w:val="AllowPageBreak"/>
      </w:pPr>
    </w:p>
    <w:p w:rsidR="00000000" w:rsidRPr="00A627F7" w:rsidP="00A627F7">
      <w:pPr>
        <w:pStyle w:val="Heading1"/>
      </w:pPr>
      <w:bookmarkStart w:id="7" w:name="O_923137"/>
      <w:bookmarkEnd w:id="7"/>
      <w:r w:rsidRPr="00A627F7">
        <w:t>Foundation Skills</w:t>
      </w:r>
    </w:p>
    <w:p w:rsidR="00000000" w:rsidRPr="00A627F7" w:rsidP="00A02426">
      <w:pPr>
        <w:pStyle w:val="BodyText"/>
      </w:pPr>
      <w:r w:rsidRPr="00A627F7">
        <w:t>This section describes those required skills (language, literacy and numeracy) that are essential to performance.</w:t>
      </w:r>
    </w:p>
    <w:p w:rsidR="00000000" w:rsidRPr="00A627F7" w:rsidP="00A02426">
      <w:pPr>
        <w:pStyle w:val="BodyText"/>
      </w:pPr>
      <w:r w:rsidRPr="00A627F7">
        <w:t>Foundation skills essential to performance are explicit in the performance criteria of this unit of competency.</w:t>
      </w:r>
    </w:p>
    <w:p w:rsidR="00000000" w:rsidRPr="00A627F7" w:rsidP="00A627F7">
      <w:pPr>
        <w:pStyle w:val="Heading1"/>
      </w:pPr>
      <w:bookmarkStart w:id="8" w:name="O_923136"/>
      <w:bookmarkEnd w:id="8"/>
      <w:r w:rsidRPr="00A627F7">
        <w:t>Range of Conditions</w:t>
      </w:r>
    </w:p>
    <w:tbl>
      <w:tblPr>
        <w:tblW w:w="0" w:type="auto"/>
        <w:tblLayout w:type="fixed"/>
        <w:tblCellMar>
          <w:left w:w="62" w:type="dxa"/>
          <w:right w:w="62" w:type="dxa"/>
        </w:tblCellMar>
        <w:tblLook w:val="0000"/>
      </w:tblPr>
      <w:tblGrid>
        <w:gridCol w:w="2270"/>
        <w:gridCol w:w="6802"/>
      </w:tblGrid>
      <w:tr w:rsidTr="00A627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t>This field allows for different work environments and conditions that may affect performance. Essential operating conditions that may be present (depending on the work situation, needs of the candidate, accessibility of the item, and local industry and reg</w:t>
            </w:r>
            <w:r w:rsidRPr="00A627F7">
              <w:t>ional contexts) are included.</w:t>
            </w:r>
          </w:p>
        </w:tc>
      </w:tr>
      <w:tr w:rsidTr="00A627F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Materials include one or more of</w:t>
            </w:r>
          </w:p>
        </w:tc>
        <w:tc>
          <w:tcPr>
            <w:tcW w:w="6802" w:type="dxa"/>
            <w:tcBorders>
              <w:top w:val="nil"/>
              <w:left w:val="nil"/>
              <w:bottom w:val="nil"/>
              <w:right w:val="nil"/>
            </w:tcBorders>
            <w:tcMar>
              <w:top w:w="0" w:type="dxa"/>
              <w:left w:w="62" w:type="dxa"/>
              <w:bottom w:w="0" w:type="dxa"/>
              <w:right w:w="62" w:type="dxa"/>
            </w:tcMar>
          </w:tcPr>
          <w:p w:rsidR="00000000" w:rsidRPr="00A627F7" w:rsidP="00A627F7">
            <w:pPr>
              <w:pStyle w:val="ListBullet"/>
            </w:pPr>
            <w:r w:rsidRPr="00A627F7">
              <w:t>materials directly used and also materials which comprise components which are used</w:t>
            </w:r>
          </w:p>
          <w:p w:rsidR="00000000" w:rsidRPr="00A627F7" w:rsidP="00A627F7">
            <w:pPr>
              <w:pStyle w:val="ListBullet"/>
            </w:pPr>
            <w:r w:rsidRPr="00A627F7">
              <w:t>materials/resources which may be consumed to make a physical product</w:t>
            </w:r>
          </w:p>
          <w:p w:rsidR="00000000" w:rsidRPr="00A627F7" w:rsidP="00A627F7">
            <w:pPr>
              <w:pStyle w:val="ListBullet"/>
            </w:pPr>
            <w:r w:rsidRPr="00A627F7">
              <w:t>materials which may be consumed in de</w:t>
            </w:r>
            <w:r w:rsidRPr="00A627F7">
              <w:t>livering a service (e.g. fuel, energy and other consumables).</w:t>
            </w:r>
          </w:p>
          <w:p w:rsidR="00000000" w:rsidP="00A627F7">
            <w:pPr>
              <w:pStyle w:val="BodyText"/>
              <w:rPr>
                <w:lang w:val="en-NZ"/>
              </w:rPr>
            </w:pPr>
          </w:p>
        </w:tc>
      </w:tr>
      <w:tr w:rsidTr="00A627F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A627F7">
            <w:pPr>
              <w:pStyle w:val="BodyText"/>
              <w:rPr>
                <w:lang w:val="en-NZ"/>
              </w:rPr>
            </w:pPr>
            <w:r w:rsidRPr="00A627F7">
              <w:rPr>
                <w:rStyle w:val="SpecialBold"/>
              </w:rPr>
              <w:t>Emissions include one or more of</w:t>
            </w:r>
          </w:p>
        </w:tc>
        <w:tc>
          <w:tcPr>
            <w:tcW w:w="6802" w:type="dxa"/>
            <w:tcBorders>
              <w:top w:val="nil"/>
              <w:left w:val="nil"/>
              <w:bottom w:val="nil"/>
              <w:right w:val="nil"/>
            </w:tcBorders>
            <w:tcMar>
              <w:top w:w="0" w:type="dxa"/>
              <w:left w:w="62" w:type="dxa"/>
              <w:bottom w:w="0" w:type="dxa"/>
              <w:right w:w="62" w:type="dxa"/>
            </w:tcMar>
          </w:tcPr>
          <w:p w:rsidR="00000000" w:rsidRPr="00A627F7" w:rsidP="00A627F7">
            <w:pPr>
              <w:pStyle w:val="ListBullet"/>
            </w:pPr>
            <w:r w:rsidRPr="00A627F7">
              <w:t>fluid leaving the process, other than as part of the product</w:t>
            </w:r>
          </w:p>
          <w:p w:rsidR="00000000" w:rsidRPr="00A627F7" w:rsidP="00A627F7">
            <w:pPr>
              <w:pStyle w:val="ListBullet"/>
            </w:pPr>
            <w:r w:rsidRPr="00A627F7">
              <w:t>solid leaving the process, other than as part of the product</w:t>
            </w:r>
          </w:p>
          <w:p w:rsidR="00000000" w:rsidRPr="00A627F7" w:rsidP="00A627F7">
            <w:pPr>
              <w:pStyle w:val="ListBullet"/>
            </w:pPr>
            <w:r w:rsidRPr="00A627F7">
              <w:t>material leaving in waste streams or entering the process but not leaving as part of the product.</w:t>
            </w:r>
          </w:p>
          <w:p w:rsidR="00000000" w:rsidRPr="00A627F7" w:rsidP="00A627F7">
            <w:pPr>
              <w:pStyle w:val="BodyText"/>
            </w:pPr>
          </w:p>
        </w:tc>
      </w:tr>
    </w:tbl>
    <w:p w:rsidR="00000000" w:rsidRPr="00A627F7" w:rsidP="00A627F7">
      <w:pPr>
        <w:pStyle w:val="BodyText"/>
      </w:pPr>
    </w:p>
    <w:p w:rsidR="00000000" w:rsidRPr="00A627F7" w:rsidP="00A627F7">
      <w:pPr>
        <w:pStyle w:val="AllowPageBreak"/>
      </w:pPr>
    </w:p>
    <w:p w:rsidR="00000000" w:rsidRPr="00A627F7" w:rsidP="00A627F7">
      <w:pPr>
        <w:pStyle w:val="Heading1"/>
      </w:pPr>
      <w:bookmarkStart w:id="9" w:name="O_923135"/>
      <w:bookmarkEnd w:id="9"/>
      <w:r w:rsidRPr="00A627F7">
        <w:t>Unit Mapping Information</w:t>
      </w:r>
    </w:p>
    <w:p w:rsidR="00000000" w:rsidRPr="00A627F7" w:rsidP="00A02426">
      <w:pPr>
        <w:pStyle w:val="BodyText"/>
      </w:pPr>
      <w:r w:rsidRPr="00A627F7">
        <w:t xml:space="preserve">Release 1. Supersedes and is equivalent to MSS015012A Conduct an emissions audit. </w:t>
      </w:r>
    </w:p>
    <w:p w:rsidR="00000000" w:rsidRPr="00A627F7" w:rsidP="00A627F7">
      <w:pPr>
        <w:pStyle w:val="Heading1"/>
      </w:pPr>
      <w:bookmarkStart w:id="10" w:name="O_923128"/>
      <w:bookmarkEnd w:id="10"/>
      <w:r w:rsidRPr="00A627F7">
        <w:t>Links</w:t>
      </w:r>
    </w:p>
    <w:p w:rsidR="00000000" w:rsidRPr="00A627F7" w:rsidP="00A02426">
      <w:pPr>
        <w:pStyle w:val="BodyText"/>
      </w:pPr>
      <w:r w:rsidRPr="00A627F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606EE">
        <w:rPr>
          <w:rStyle w:val="Hyperlink"/>
        </w:rPr>
        <w:t>https://vetnet.gov.au/Pages/TrainingDocs.aspx?q=5b04f318-804f-4dc0-9463-c3fb9a3fe998</w:t>
      </w:r>
      <w:r>
        <w:fldChar w:fldCharType="end"/>
      </w:r>
    </w:p>
    <w:p w:rsidR="00000000" w:rsidRPr="00A627F7" w:rsidP="00A02426">
      <w:pPr>
        <w:pStyle w:val="BodyText"/>
        <w:sectPr w:rsidSect="00A627F7">
          <w:headerReference w:type="default" r:id="rId10"/>
          <w:footerReference w:type="default" r:id="rId11"/>
          <w:pgSz w:w="11908" w:h="16833"/>
          <w:pgMar w:top="1702" w:right="1418" w:bottom="1702" w:left="1418" w:header="992" w:footer="992" w:gutter="0"/>
          <w:cols w:space="720"/>
          <w:noEndnote/>
          <w:docGrid w:linePitch="299"/>
        </w:sectPr>
      </w:pPr>
    </w:p>
    <w:p w:rsidR="00000000" w:rsidRPr="00A627F7" w:rsidP="00A627F7">
      <w:pPr>
        <w:pStyle w:val="SuperHeading"/>
      </w:pPr>
      <w:r w:rsidRPr="00A627F7">
        <w:t>Assessment Requirements for MSS015012 Conduct an emissions audi</w:t>
      </w:r>
      <w:r w:rsidRPr="00A627F7">
        <w:t>t</w:t>
      </w:r>
    </w:p>
    <w:p w:rsidR="00000000" w:rsidRPr="00A627F7" w:rsidP="00A627F7">
      <w:pPr>
        <w:pStyle w:val="Heading1"/>
      </w:pPr>
      <w:bookmarkStart w:id="11" w:name="O_923130"/>
      <w:bookmarkEnd w:id="11"/>
      <w:r w:rsidRPr="00A627F7">
        <w:t>Modification History</w:t>
      </w:r>
    </w:p>
    <w:p w:rsidR="00000000" w:rsidRPr="00A627F7" w:rsidP="00A02426">
      <w:pPr>
        <w:pStyle w:val="BodyText"/>
      </w:pPr>
      <w:r w:rsidRPr="00A627F7">
        <w:t xml:space="preserve">Release 1. Supersedes and is equivalent to MSS015012A Conduct an emissions audit. </w:t>
      </w:r>
    </w:p>
    <w:p w:rsidR="00000000" w:rsidRPr="00A627F7" w:rsidP="00A627F7">
      <w:pPr>
        <w:pStyle w:val="Heading1"/>
      </w:pPr>
      <w:bookmarkStart w:id="12" w:name="O_923133"/>
      <w:bookmarkEnd w:id="12"/>
      <w:r w:rsidRPr="00A627F7">
        <w:t>Performance Evidence</w:t>
      </w:r>
    </w:p>
    <w:p w:rsidR="00000000" w:rsidRPr="00A627F7" w:rsidP="00A02426">
      <w:pPr>
        <w:pStyle w:val="BodyText"/>
      </w:pPr>
      <w:r w:rsidRPr="00A627F7">
        <w:t>Evidence required to demonstrate competence in this unit must be relevant to and satisfy the requirements of the elements and performance criteria and include the ability, for one or more products/processes or part/all of the value chain, to:</w:t>
      </w:r>
    </w:p>
    <w:p w:rsidR="00000000" w:rsidRPr="00A627F7" w:rsidP="00A627F7">
      <w:pPr>
        <w:pStyle w:val="ListBullet"/>
      </w:pPr>
      <w:r w:rsidRPr="00A627F7">
        <w:t>define appro</w:t>
      </w:r>
      <w:r w:rsidRPr="00A627F7">
        <w:t>priate boundaries for the sustainability emissions audit</w:t>
      </w:r>
    </w:p>
    <w:p w:rsidR="00000000" w:rsidRPr="00A627F7" w:rsidP="00A627F7">
      <w:pPr>
        <w:pStyle w:val="ListBullet"/>
      </w:pPr>
      <w:r w:rsidRPr="00A627F7">
        <w:t>conduct material balance analyses for a site or value chain</w:t>
      </w:r>
    </w:p>
    <w:p w:rsidR="00000000" w:rsidRPr="00A627F7" w:rsidP="00A627F7">
      <w:pPr>
        <w:pStyle w:val="ListBullet"/>
      </w:pPr>
      <w:r w:rsidRPr="00A627F7">
        <w:t xml:space="preserve">identify high emissions units/areas </w:t>
      </w:r>
    </w:p>
    <w:p w:rsidR="00000000" w:rsidRPr="00A627F7" w:rsidP="00A627F7">
      <w:pPr>
        <w:pStyle w:val="ListBullet"/>
      </w:pPr>
      <w:r w:rsidRPr="00A627F7">
        <w:t>undertake benefit/cost ratio analyses</w:t>
      </w:r>
    </w:p>
    <w:p w:rsidR="00000000" w:rsidRPr="00A627F7" w:rsidP="00A627F7">
      <w:pPr>
        <w:pStyle w:val="ListBullet"/>
      </w:pPr>
      <w:r w:rsidRPr="00A627F7">
        <w:t>ensure improvement strategies proposed reflect stakeholder needs</w:t>
      </w:r>
      <w:r w:rsidRPr="00A627F7">
        <w:t xml:space="preserve"> and regulatory environment.</w:t>
      </w:r>
    </w:p>
    <w:p w:rsidR="00000000" w:rsidRPr="00A627F7" w:rsidP="00A627F7">
      <w:pPr>
        <w:pStyle w:val="AllowPageBreak"/>
      </w:pPr>
    </w:p>
    <w:p w:rsidR="00000000" w:rsidRPr="00A627F7" w:rsidP="00A627F7">
      <w:pPr>
        <w:pStyle w:val="Heading1"/>
      </w:pPr>
      <w:bookmarkStart w:id="13" w:name="O_923132"/>
      <w:bookmarkEnd w:id="13"/>
      <w:r w:rsidRPr="00A627F7">
        <w:t>Knowledge Evidence</w:t>
      </w:r>
    </w:p>
    <w:p w:rsidR="00000000" w:rsidRPr="00A627F7" w:rsidP="00A02426">
      <w:pPr>
        <w:pStyle w:val="BodyText"/>
      </w:pPr>
      <w:r w:rsidRPr="00A627F7">
        <w:t>Must provide evidence that demonstrates sufficient knowledge to interact with relevant personnel and be able to conduct an audit of emissions including knowledge of:</w:t>
      </w:r>
    </w:p>
    <w:p w:rsidR="00000000" w:rsidRPr="00A627F7" w:rsidP="00A627F7">
      <w:pPr>
        <w:pStyle w:val="ListBullet"/>
      </w:pPr>
      <w:r w:rsidRPr="00A627F7">
        <w:t>nature of emissions</w:t>
      </w:r>
    </w:p>
    <w:p w:rsidR="00000000" w:rsidRPr="00A627F7" w:rsidP="00A627F7">
      <w:pPr>
        <w:pStyle w:val="ListBullet"/>
      </w:pPr>
      <w:r w:rsidRPr="00A627F7">
        <w:t>material balancing techniques for process and process steps (sometimes known as mass balancing)</w:t>
      </w:r>
    </w:p>
    <w:p w:rsidR="00000000" w:rsidRPr="00A627F7" w:rsidP="00A627F7">
      <w:pPr>
        <w:pStyle w:val="ListBullet"/>
      </w:pPr>
      <w:r w:rsidRPr="00A627F7">
        <w:t>methods of measuring actual process amount/flows</w:t>
      </w:r>
    </w:p>
    <w:p w:rsidR="00000000" w:rsidRPr="00A627F7" w:rsidP="00A627F7">
      <w:pPr>
        <w:pStyle w:val="ListBullet"/>
      </w:pPr>
      <w:r w:rsidRPr="00A627F7">
        <w:t>emission reduction strategies and methods along with costs, effectiveness and alternative disposal strategies c</w:t>
      </w:r>
      <w:r w:rsidRPr="00A627F7">
        <w:t>aused</w:t>
      </w:r>
    </w:p>
    <w:p w:rsidR="00000000" w:rsidRPr="00A627F7" w:rsidP="00A627F7">
      <w:pPr>
        <w:pStyle w:val="ListBullet"/>
      </w:pPr>
      <w:r w:rsidRPr="00A627F7">
        <w:t>cost-benefit analysis</w:t>
      </w:r>
    </w:p>
    <w:p w:rsidR="00000000" w:rsidRPr="00A627F7" w:rsidP="00A627F7">
      <w:pPr>
        <w:pStyle w:val="ListBullet"/>
      </w:pPr>
      <w:r w:rsidRPr="00A627F7">
        <w:t>relevant legislation, regulations and protocols.</w:t>
      </w:r>
    </w:p>
    <w:p w:rsidR="00000000" w:rsidRPr="00A627F7" w:rsidP="00A627F7">
      <w:pPr>
        <w:pStyle w:val="AllowPageBreak"/>
      </w:pPr>
    </w:p>
    <w:p w:rsidR="00000000" w:rsidRPr="00A627F7" w:rsidP="00A627F7">
      <w:pPr>
        <w:pStyle w:val="Heading1"/>
      </w:pPr>
      <w:bookmarkStart w:id="14" w:name="O_923131"/>
      <w:bookmarkEnd w:id="14"/>
      <w:r w:rsidRPr="00A627F7">
        <w:t>Assessment Conditions</w:t>
      </w:r>
    </w:p>
    <w:p w:rsidR="00000000" w:rsidRPr="00A627F7" w:rsidP="00A627F7">
      <w:pPr>
        <w:pStyle w:val="ListBullet"/>
      </w:pPr>
      <w:r w:rsidRPr="00A627F7">
        <w:t xml:space="preserve">The unit should be assessed holistically and the judgement of competence shall be based on a holistic assessment of the evidence. </w:t>
      </w:r>
    </w:p>
    <w:p w:rsidR="00000000" w:rsidRPr="00A627F7" w:rsidP="00A627F7">
      <w:pPr>
        <w:pStyle w:val="ListBullet"/>
      </w:pPr>
      <w:r w:rsidRPr="00A627F7">
        <w:t>The coll</w:t>
      </w:r>
      <w:r w:rsidRPr="00A627F7">
        <w:t>ection of performance evidence is best done from a report and/or folio of evidence drawn from:</w:t>
      </w:r>
    </w:p>
    <w:p w:rsidR="00000000" w:rsidRPr="00A627F7" w:rsidP="00A627F7">
      <w:pPr>
        <w:pStyle w:val="ListBullet2"/>
      </w:pPr>
      <w:r w:rsidRPr="00A627F7">
        <w:t>a single project which provides sufficient evidence of the requirements of all the elements and performance criteria</w:t>
      </w:r>
    </w:p>
    <w:p w:rsidR="00000000" w:rsidRPr="00A627F7" w:rsidP="00A627F7">
      <w:pPr>
        <w:pStyle w:val="ListBullet2"/>
      </w:pPr>
      <w:r w:rsidRPr="00A627F7">
        <w:t>multiple smaller projects which together pr</w:t>
      </w:r>
      <w:r w:rsidRPr="00A627F7">
        <w:t>ovide sufficient evidence of the requirements of all the elements and performance criteria.</w:t>
      </w:r>
    </w:p>
    <w:p w:rsidR="00000000" w:rsidRPr="00A627F7" w:rsidP="00A627F7">
      <w:pPr>
        <w:pStyle w:val="ListBullet"/>
      </w:pPr>
      <w:r w:rsidRPr="00A627F7">
        <w:t>A third party report, or similar, may be needed to testify to the work done by the individual, particularly when the project has been done as part of a project tea</w:t>
      </w:r>
      <w:r w:rsidRPr="00A627F7">
        <w:t>m.</w:t>
      </w:r>
    </w:p>
    <w:p w:rsidR="00000000" w:rsidRPr="00A627F7" w:rsidP="00A627F7">
      <w:pPr>
        <w:pStyle w:val="ListBullet"/>
      </w:pPr>
      <w:r w:rsidRPr="00A627F7">
        <w:t>Assessment should use a real project where an audit of emissions is conducted for an operational workplace.</w:t>
      </w:r>
    </w:p>
    <w:p w:rsidR="00000000" w:rsidRPr="00A627F7" w:rsidP="00A627F7">
      <w:pPr>
        <w:pStyle w:val="ListBullet"/>
      </w:pPr>
      <w:r w:rsidRPr="00A627F7">
        <w:t>Knowledge evidence may be collected concurrently with performance evidence or through an independent process such as workbooks, written assessments or interviews (provided a record is kept).</w:t>
      </w:r>
    </w:p>
    <w:p w:rsidR="00000000" w:rsidRPr="00A627F7" w:rsidP="00A627F7">
      <w:pPr>
        <w:pStyle w:val="ListBullet"/>
      </w:pPr>
      <w:r w:rsidRPr="00A627F7">
        <w:t>Assessment processes and techniques must be appropriate to the la</w:t>
      </w:r>
      <w:r w:rsidRPr="00A627F7">
        <w:t>nguage, literacy and numeracy requirements of the work being performed and the needs of the candidate.</w:t>
      </w:r>
    </w:p>
    <w:p w:rsidR="00000000" w:rsidRPr="00A627F7" w:rsidP="00A627F7">
      <w:pPr>
        <w:pStyle w:val="ListBullet"/>
      </w:pPr>
      <w:r w:rsidRPr="00A627F7">
        <w:t>Conditions for assessment must include access to all tools, equipment, materials and documentation required including relevant workplace procedures, prod</w:t>
      </w:r>
      <w:r w:rsidRPr="00A627F7">
        <w:t>uct and manufacturing specifications associated with this unit.</w:t>
      </w:r>
    </w:p>
    <w:p w:rsidR="00000000" w:rsidRPr="00A627F7" w:rsidP="00A627F7">
      <w:pPr>
        <w:pStyle w:val="ListBullet"/>
      </w:pPr>
      <w:r w:rsidRPr="00A627F7">
        <w:t>Foundation skills are integral to competent performance of the unit and should not be assessed separately.</w:t>
      </w:r>
    </w:p>
    <w:p w:rsidR="00000000" w:rsidRPr="00A627F7" w:rsidP="00A627F7">
      <w:pPr>
        <w:pStyle w:val="ListBullet"/>
      </w:pPr>
      <w:r w:rsidRPr="00A627F7">
        <w:t xml:space="preserve">Assessors must satisfy the assessor competency requirements that are in place at the </w:t>
      </w:r>
      <w:r w:rsidRPr="00A627F7">
        <w:t xml:space="preserve">time of the assessment as set by the VET regulator.  </w:t>
      </w:r>
    </w:p>
    <w:p w:rsidR="00000000" w:rsidRPr="00A627F7" w:rsidP="00A627F7">
      <w:pPr>
        <w:pStyle w:val="ListBullet"/>
      </w:pPr>
      <w:r w:rsidRPr="00A627F7">
        <w:t>The assessor must demonstrate both technical competency and currency.</w:t>
      </w:r>
    </w:p>
    <w:p w:rsidR="00000000" w:rsidRPr="00A627F7" w:rsidP="00A627F7">
      <w:pPr>
        <w:pStyle w:val="ListBullet"/>
      </w:pPr>
      <w:r w:rsidRPr="00A627F7">
        <w:t>Technical competence can be demonstrated through:</w:t>
      </w:r>
    </w:p>
    <w:p w:rsidR="00000000" w:rsidRPr="00A627F7" w:rsidP="00A627F7">
      <w:pPr>
        <w:pStyle w:val="ListBullet2"/>
      </w:pPr>
      <w:r w:rsidRPr="00A627F7">
        <w:t>relevant VET or other qualification/Statement of Attainment AND/OR</w:t>
      </w:r>
    </w:p>
    <w:p w:rsidR="00000000" w:rsidRPr="00A627F7" w:rsidP="00A627F7">
      <w:pPr>
        <w:pStyle w:val="ListBullet2"/>
      </w:pPr>
      <w:r w:rsidRPr="00A627F7">
        <w:t>relevant workp</w:t>
      </w:r>
      <w:r w:rsidRPr="00A627F7">
        <w:t xml:space="preserve">lace experience </w:t>
      </w:r>
    </w:p>
    <w:p w:rsidR="00000000" w:rsidRPr="00A627F7" w:rsidP="00A627F7">
      <w:pPr>
        <w:pStyle w:val="ListBullet"/>
      </w:pPr>
      <w:r w:rsidRPr="00A627F7">
        <w:t>Currency can be demonstrated through:</w:t>
      </w:r>
    </w:p>
    <w:p w:rsidR="00000000" w:rsidRPr="00A627F7" w:rsidP="00A627F7">
      <w:pPr>
        <w:pStyle w:val="ListBullet2"/>
      </w:pPr>
      <w:r w:rsidRPr="00A627F7">
        <w:t>performing the competency being assessed as part of current employment OR</w:t>
      </w:r>
    </w:p>
    <w:p w:rsidR="00000000" w:rsidRPr="00A627F7" w:rsidP="00A627F7">
      <w:pPr>
        <w:pStyle w:val="ListBullet2"/>
      </w:pPr>
      <w:r w:rsidRPr="00A627F7">
        <w:t>having consulted with an organisation providing relevant environmental monitoring, management or technology services about pe</w:t>
      </w:r>
      <w:r w:rsidRPr="00A627F7">
        <w:t>rforming the competency being assessed within the last twelve months.</w:t>
      </w:r>
    </w:p>
    <w:p w:rsidR="00000000" w:rsidRPr="00A627F7" w:rsidP="00A627F7">
      <w:pPr>
        <w:pStyle w:val="AllowPageBreak"/>
      </w:pPr>
    </w:p>
    <w:p w:rsidR="00000000" w:rsidRPr="00A627F7" w:rsidP="00A627F7">
      <w:pPr>
        <w:pStyle w:val="Heading1"/>
      </w:pPr>
      <w:bookmarkStart w:id="15" w:name="O_923129"/>
      <w:bookmarkEnd w:id="15"/>
      <w:r w:rsidRPr="00A627F7">
        <w:t>Links</w:t>
      </w:r>
    </w:p>
    <w:p w:rsidR="00000000" w:rsidRPr="00A627F7" w:rsidP="00A02426">
      <w:pPr>
        <w:pStyle w:val="BodyText"/>
      </w:pPr>
      <w:r w:rsidRPr="00A627F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606EE">
        <w:rPr>
          <w:rStyle w:val="Hyperlink"/>
        </w:rPr>
        <w:t>https://vetnet.gov.au/Pages/TrainingDocs.aspx?q=5b04f318-804f-4dc0-9463-c3fb9a3fe998</w:t>
      </w:r>
      <w:r>
        <w:fldChar w:fldCharType="end"/>
      </w:r>
    </w:p>
    <w:p w:rsidR="00000000" w:rsidRPr="00A627F7" w:rsidP="00A627F7"/>
    <w:sectPr w:rsidSect="00A627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rsidRPr="00A02426" w:rsidP="00A02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26" w:rsidP="00A62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2426" w:rsidP="00A627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2426" w:rsidP="00A627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rsidP="00A627F7">
    <w:pPr>
      <w:pStyle w:val="Footer"/>
      <w:framePr w:wrap="around"/>
    </w:pPr>
    <w:r>
      <w:fldChar w:fldCharType="begin"/>
    </w:r>
    <w:r>
      <w:instrText xml:space="preserve"> DOCPROPERTY  Subject  \* MERGEFORMAT </w:instrText>
    </w:r>
    <w:r>
      <w:fldChar w:fldCharType="separate"/>
    </w:r>
    <w:r w:rsidR="00A02426">
      <w:t>Approved</w:t>
    </w:r>
    <w:r w:rsidR="00A02426">
      <w:fldChar w:fldCharType="end"/>
    </w:r>
    <w:r>
      <w:tab/>
      <w:t xml:space="preserve">Page </w:t>
    </w:r>
    <w:r>
      <w:fldChar w:fldCharType="begin"/>
    </w:r>
    <w:r>
      <w:instrText xml:space="preserve"> PAGE  \* Arabic  \* MERGEFORMAT </w:instrText>
    </w:r>
    <w:r>
      <w:fldChar w:fldCharType="separate"/>
    </w:r>
    <w:r w:rsidR="00A024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426">
      <w:rPr>
        <w:noProof/>
      </w:rPr>
      <w:t>5</w:t>
    </w:r>
    <w:r>
      <w:rPr>
        <w:noProof/>
      </w:rPr>
      <w:fldChar w:fldCharType="end"/>
    </w:r>
  </w:p>
  <w:p w:rsidR="00A627F7" w:rsidP="00A627F7">
    <w:pPr>
      <w:pStyle w:val="Footer"/>
      <w:framePr w:wrap="around"/>
    </w:pPr>
    <w:r>
      <w:t xml:space="preserve">© Commonwealth of Australia, </w:t>
    </w:r>
    <w:r>
      <w:fldChar w:fldCharType="begin"/>
    </w:r>
    <w:r>
      <w:instrText xml:space="preserve"> DATE  \@ "yyyy"  \* MERGEFORMAT </w:instrText>
    </w:r>
    <w:r>
      <w:fldChar w:fldCharType="separate"/>
    </w:r>
    <w:r w:rsidR="00A02426">
      <w:rPr>
        <w:noProof/>
      </w:rPr>
      <w:t>2025</w:t>
    </w:r>
    <w:r>
      <w:fldChar w:fldCharType="end"/>
    </w:r>
    <w:r>
      <w:tab/>
    </w:r>
    <w:r>
      <w:fldChar w:fldCharType="begin"/>
    </w:r>
    <w:r>
      <w:instrText xml:space="preserve"> DOCPROPERTY  Author  \* MERGEFORMAT </w:instrText>
    </w:r>
    <w:r>
      <w:fldChar w:fldCharType="separate"/>
    </w:r>
    <w:r w:rsidR="00A02426">
      <w:t>Manufacturing Industry Skills Alliance</w:t>
    </w:r>
    <w:r w:rsidR="00A02426">
      <w:fldChar w:fldCharType="end"/>
    </w:r>
  </w:p>
  <w:p w:rsidR="00A627F7" w:rsidP="00A62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7F7" w:rsidRPr="00A02426" w:rsidP="00A02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426" w:rsidRPr="002D2AF8" w:rsidP="00A627F7">
    <w:pPr>
      <w:pStyle w:val="Header"/>
      <w:framePr w:wrap="around"/>
    </w:pPr>
    <w:r>
      <w:fldChar w:fldCharType="begin"/>
    </w:r>
    <w:r>
      <w:instrText xml:space="preserve"> TITLE   \* MERGEFORMAT </w:instrText>
    </w:r>
    <w:r>
      <w:fldChar w:fldCharType="separate"/>
    </w:r>
    <w:r>
      <w:t>MSS015012 Conduct an emissions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2426" w:rsidP="00A627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F7" w:rsidRPr="002D2AF8" w:rsidP="00A627F7">
    <w:pPr>
      <w:pStyle w:val="Header"/>
      <w:framePr w:wrap="around"/>
    </w:pPr>
    <w:r>
      <w:fldChar w:fldCharType="begin"/>
    </w:r>
    <w:r>
      <w:instrText xml:space="preserve"> TITLE   \* MERGEFORMAT </w:instrText>
    </w:r>
    <w:r>
      <w:fldChar w:fldCharType="separate"/>
    </w:r>
    <w:r w:rsidR="00A02426">
      <w:t>MSS015012 Conduct an emissions audit</w:t>
    </w:r>
    <w:r w:rsidR="00A02426">
      <w:fldChar w:fldCharType="end"/>
    </w:r>
    <w:r>
      <w:tab/>
      <w:t xml:space="preserve">Date this document was generated: </w:t>
    </w:r>
    <w:r>
      <w:fldChar w:fldCharType="begin"/>
    </w:r>
    <w:r>
      <w:instrText xml:space="preserve"> CREATEDATE  \@ "d MMMM yyyy"  \* MERGEFORMAT </w:instrText>
    </w:r>
    <w:r>
      <w:fldChar w:fldCharType="separate"/>
    </w:r>
    <w:r w:rsidR="00A02426">
      <w:rPr>
        <w:noProof/>
      </w:rPr>
      <w:t>2 March 2025</w:t>
    </w:r>
    <w:r>
      <w:fldChar w:fldCharType="end"/>
    </w:r>
  </w:p>
  <w:p w:rsidR="00A627F7" w:rsidP="00A62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40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A6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65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7F7"/>
    <w:pPr>
      <w:spacing w:before="360" w:after="60"/>
      <w:outlineLvl w:val="0"/>
    </w:pPr>
    <w:rPr>
      <w:sz w:val="32"/>
    </w:rPr>
  </w:style>
  <w:style w:type="paragraph" w:styleId="Heading2">
    <w:name w:val="heading 2"/>
    <w:basedOn w:val="HeadingBase"/>
    <w:next w:val="BodyText"/>
    <w:link w:val="Heading2Char"/>
    <w:qFormat/>
    <w:rsid w:val="00A627F7"/>
    <w:pPr>
      <w:keepLines/>
      <w:spacing w:before="240" w:after="120"/>
      <w:outlineLvl w:val="1"/>
    </w:pPr>
    <w:rPr>
      <w:sz w:val="28"/>
      <w:szCs w:val="40"/>
    </w:rPr>
  </w:style>
  <w:style w:type="paragraph" w:styleId="Heading3">
    <w:name w:val="heading 3"/>
    <w:basedOn w:val="HeadingBase"/>
    <w:next w:val="BodyText"/>
    <w:link w:val="Heading3Char"/>
    <w:qFormat/>
    <w:rsid w:val="00A627F7"/>
    <w:pPr>
      <w:spacing w:before="180" w:after="120"/>
      <w:outlineLvl w:val="2"/>
    </w:pPr>
    <w:rPr>
      <w:spacing w:val="-10"/>
      <w:kern w:val="32"/>
    </w:rPr>
  </w:style>
  <w:style w:type="paragraph" w:styleId="Heading4">
    <w:name w:val="heading 4"/>
    <w:basedOn w:val="HeadingBase"/>
    <w:next w:val="BodyText"/>
    <w:link w:val="Heading4Char"/>
    <w:qFormat/>
    <w:rsid w:val="00A627F7"/>
    <w:pPr>
      <w:spacing w:before="160" w:after="120"/>
      <w:outlineLvl w:val="3"/>
    </w:pPr>
    <w:rPr>
      <w:sz w:val="22"/>
    </w:rPr>
  </w:style>
  <w:style w:type="paragraph" w:styleId="Heading5">
    <w:name w:val="heading 5"/>
    <w:basedOn w:val="HeadingBase"/>
    <w:next w:val="Normal"/>
    <w:link w:val="Heading5Char"/>
    <w:qFormat/>
    <w:rsid w:val="00A627F7"/>
    <w:pPr>
      <w:spacing w:before="80"/>
      <w:outlineLvl w:val="4"/>
    </w:pPr>
    <w:rPr>
      <w:color w:val="918585"/>
      <w:sz w:val="20"/>
    </w:rPr>
  </w:style>
  <w:style w:type="paragraph" w:styleId="Heading6">
    <w:name w:val="heading 6"/>
    <w:basedOn w:val="HeadingBase"/>
    <w:next w:val="Normal"/>
    <w:link w:val="Heading6Char"/>
    <w:qFormat/>
    <w:rsid w:val="00A627F7"/>
    <w:pPr>
      <w:spacing w:before="60"/>
      <w:outlineLvl w:val="5"/>
    </w:pPr>
    <w:rPr>
      <w:color w:val="918585"/>
      <w:sz w:val="20"/>
    </w:rPr>
  </w:style>
  <w:style w:type="paragraph" w:styleId="Heading7">
    <w:name w:val="heading 7"/>
    <w:basedOn w:val="Normal"/>
    <w:next w:val="Normal"/>
    <w:link w:val="Heading7Char"/>
    <w:qFormat/>
    <w:rsid w:val="00A627F7"/>
    <w:pPr>
      <w:ind w:left="720"/>
      <w:outlineLvl w:val="6"/>
    </w:pPr>
    <w:rPr>
      <w:i/>
    </w:rPr>
  </w:style>
  <w:style w:type="paragraph" w:styleId="Heading8">
    <w:name w:val="heading 8"/>
    <w:basedOn w:val="Normal"/>
    <w:next w:val="Normal"/>
    <w:link w:val="Heading8Char"/>
    <w:qFormat/>
    <w:rsid w:val="00A627F7"/>
    <w:pPr>
      <w:ind w:left="720"/>
      <w:outlineLvl w:val="7"/>
    </w:pPr>
    <w:rPr>
      <w:i/>
    </w:rPr>
  </w:style>
  <w:style w:type="paragraph" w:styleId="Heading9">
    <w:name w:val="heading 9"/>
    <w:basedOn w:val="Normal"/>
    <w:next w:val="Normal"/>
    <w:link w:val="Heading9Char"/>
    <w:qFormat/>
    <w:rsid w:val="00A627F7"/>
    <w:pPr>
      <w:ind w:left="720"/>
      <w:outlineLvl w:val="8"/>
    </w:pPr>
    <w:rPr>
      <w:i/>
    </w:rPr>
  </w:style>
  <w:style w:type="character" w:default="1" w:styleId="DefaultParagraphFont">
    <w:name w:val="Default Paragraph Font"/>
    <w:uiPriority w:val="1"/>
    <w:unhideWhenUsed/>
    <w:rsid w:val="00A62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7F7"/>
  </w:style>
  <w:style w:type="character" w:customStyle="1" w:styleId="Heading1Char">
    <w:name w:val="Heading 1 Char"/>
    <w:basedOn w:val="DefaultParagraphFont"/>
    <w:link w:val="Heading1"/>
    <w:rsid w:val="00A627F7"/>
    <w:rPr>
      <w:rFonts w:ascii="Times New Roman" w:eastAsia="Times New Roman" w:hAnsi="Times New Roman" w:cs="Times New Roman"/>
      <w:b/>
      <w:sz w:val="32"/>
      <w:szCs w:val="20"/>
      <w:lang w:eastAsia="en-US"/>
    </w:rPr>
  </w:style>
  <w:style w:type="paragraph" w:styleId="BodyText">
    <w:name w:val="Body Text"/>
    <w:basedOn w:val="Normal"/>
    <w:link w:val="BodyTextChar"/>
    <w:rsid w:val="00A62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7F7"/>
    <w:rPr>
      <w:rFonts w:ascii="Times New Roman" w:eastAsia="Times New Roman" w:hAnsi="Times New Roman" w:cs="Times New Roman"/>
      <w:sz w:val="24"/>
      <w:lang w:eastAsia="en-US"/>
    </w:rPr>
  </w:style>
  <w:style w:type="paragraph" w:styleId="ListBullet">
    <w:name w:val="List Bullet"/>
    <w:basedOn w:val="List"/>
    <w:rsid w:val="00A627F7"/>
    <w:pPr>
      <w:numPr>
        <w:numId w:val="12"/>
      </w:numPr>
      <w:tabs>
        <w:tab w:val="clear" w:pos="340"/>
      </w:tabs>
      <w:spacing w:before="40" w:after="40"/>
    </w:pPr>
  </w:style>
  <w:style w:type="character" w:customStyle="1" w:styleId="SpecialBold">
    <w:name w:val="Special Bold"/>
    <w:basedOn w:val="DefaultParagraphFont"/>
    <w:rsid w:val="00A627F7"/>
    <w:rPr>
      <w:b/>
      <w:spacing w:val="0"/>
    </w:rPr>
  </w:style>
  <w:style w:type="paragraph" w:styleId="ListBullet2">
    <w:name w:val="List Bullet 2"/>
    <w:basedOn w:val="List2"/>
    <w:rsid w:val="00A627F7"/>
    <w:pPr>
      <w:numPr>
        <w:numId w:val="13"/>
      </w:numPr>
      <w:tabs>
        <w:tab w:val="clear" w:pos="680"/>
      </w:tabs>
    </w:pPr>
  </w:style>
  <w:style w:type="paragraph" w:customStyle="1" w:styleId="SuperHeading">
    <w:name w:val="SuperHeading"/>
    <w:basedOn w:val="Normal"/>
    <w:rsid w:val="00A627F7"/>
    <w:pPr>
      <w:spacing w:before="240" w:after="120"/>
      <w:outlineLvl w:val="0"/>
    </w:pPr>
    <w:rPr>
      <w:rFonts w:ascii="Times New Roman" w:hAnsi="Times New Roman"/>
      <w:b/>
      <w:sz w:val="32"/>
    </w:rPr>
  </w:style>
  <w:style w:type="paragraph" w:customStyle="1" w:styleId="AllowPageBreak">
    <w:name w:val="AllowPageBreak"/>
    <w:rsid w:val="00A62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7F7"/>
    <w:rPr>
      <w:rFonts w:ascii="Courier New" w:eastAsia="Times New Roman" w:hAnsi="Courier New" w:cs="Times New Roman"/>
      <w:i/>
      <w:szCs w:val="20"/>
      <w:lang w:eastAsia="en-US"/>
    </w:rPr>
  </w:style>
  <w:style w:type="paragraph" w:customStyle="1" w:styleId="HeadingBase">
    <w:name w:val="Heading Base"/>
    <w:rsid w:val="00A62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7F7"/>
    <w:pPr>
      <w:tabs>
        <w:tab w:val="right" w:leader="dot" w:pos="9072"/>
      </w:tabs>
      <w:ind w:left="567"/>
    </w:pPr>
    <w:rPr>
      <w:szCs w:val="22"/>
    </w:rPr>
  </w:style>
  <w:style w:type="paragraph" w:customStyle="1" w:styleId="TOCBase">
    <w:name w:val="TOC Base"/>
    <w:rsid w:val="00A62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7F7"/>
    <w:pPr>
      <w:tabs>
        <w:tab w:val="right" w:leader="dot" w:pos="9072"/>
      </w:tabs>
      <w:spacing w:before="40" w:after="40"/>
      <w:ind w:left="284"/>
    </w:pPr>
    <w:rPr>
      <w:rFonts w:ascii="Times New Roman" w:hAnsi="Times New Roman"/>
    </w:rPr>
  </w:style>
  <w:style w:type="paragraph" w:styleId="TOC1">
    <w:name w:val="toc 1"/>
    <w:basedOn w:val="TOCBase"/>
    <w:next w:val="Normal"/>
    <w:rsid w:val="00A62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7F7"/>
    <w:rPr>
      <w:rFonts w:ascii="Times New Roman" w:eastAsia="Times New Roman" w:hAnsi="Times New Roman" w:cs="Times New Roman"/>
      <w:sz w:val="16"/>
      <w:lang w:eastAsia="en-US"/>
    </w:rPr>
  </w:style>
  <w:style w:type="paragraph" w:styleId="Title">
    <w:name w:val="Title"/>
    <w:basedOn w:val="HeadingBase"/>
    <w:link w:val="TitleChar"/>
    <w:qFormat/>
    <w:rsid w:val="00A627F7"/>
    <w:pPr>
      <w:spacing w:before="5040"/>
      <w:jc w:val="center"/>
    </w:pPr>
    <w:rPr>
      <w:sz w:val="48"/>
      <w:szCs w:val="72"/>
      <w:lang w:val="en-US"/>
    </w:rPr>
  </w:style>
  <w:style w:type="character" w:customStyle="1" w:styleId="TitleChar">
    <w:name w:val="Title Char"/>
    <w:basedOn w:val="DefaultParagraphFont"/>
    <w:link w:val="Title"/>
    <w:rsid w:val="00A62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7F7"/>
    <w:pPr>
      <w:tabs>
        <w:tab w:val="left" w:pos="3600"/>
        <w:tab w:val="left" w:pos="3958"/>
      </w:tabs>
    </w:pPr>
  </w:style>
  <w:style w:type="paragraph" w:styleId="List">
    <w:name w:val="List"/>
    <w:basedOn w:val="BodyText"/>
    <w:next w:val="BodyText"/>
    <w:rsid w:val="00A627F7"/>
    <w:pPr>
      <w:tabs>
        <w:tab w:val="left" w:pos="340"/>
      </w:tabs>
      <w:spacing w:before="60" w:after="60"/>
      <w:ind w:left="340" w:hanging="340"/>
    </w:pPr>
  </w:style>
  <w:style w:type="paragraph" w:customStyle="1" w:styleId="Note">
    <w:name w:val="Note"/>
    <w:basedOn w:val="BodyText"/>
    <w:rsid w:val="00A62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7F7"/>
    <w:pPr>
      <w:framePr w:wrap="auto" w:hAnchor="text" w:y="6049"/>
    </w:pPr>
    <w:rPr>
      <w:color w:val="000000"/>
      <w:sz w:val="40"/>
    </w:rPr>
  </w:style>
  <w:style w:type="paragraph" w:customStyle="1" w:styleId="TOCTitle">
    <w:name w:val="TOCTitle"/>
    <w:basedOn w:val="Heading1"/>
    <w:rsid w:val="00A627F7"/>
    <w:pPr>
      <w:spacing w:after="240"/>
      <w:jc w:val="center"/>
      <w:outlineLvl w:val="9"/>
    </w:pPr>
    <w:rPr>
      <w:caps/>
    </w:rPr>
  </w:style>
  <w:style w:type="paragraph" w:customStyle="1" w:styleId="Version">
    <w:name w:val="Version"/>
    <w:rsid w:val="00A62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7F7"/>
    <w:pPr>
      <w:keepNext w:val="0"/>
      <w:tabs>
        <w:tab w:val="right" w:pos="4176"/>
      </w:tabs>
      <w:ind w:left="198" w:hanging="198"/>
    </w:pPr>
    <w:rPr>
      <w:rFonts w:ascii="Garamond" w:hAnsi="Garamond"/>
    </w:rPr>
  </w:style>
  <w:style w:type="paragraph" w:styleId="IndexHeading">
    <w:name w:val="index heading"/>
    <w:basedOn w:val="Normal"/>
    <w:next w:val="Index1"/>
    <w:semiHidden/>
    <w:rsid w:val="00A627F7"/>
    <w:pPr>
      <w:spacing w:before="120" w:after="120"/>
    </w:pPr>
    <w:rPr>
      <w:rFonts w:ascii="Arial" w:hAnsi="Arial"/>
      <w:b/>
      <w:color w:val="918585"/>
      <w:sz w:val="24"/>
    </w:rPr>
  </w:style>
  <w:style w:type="paragraph" w:styleId="Header">
    <w:name w:val="header"/>
    <w:basedOn w:val="Normal"/>
    <w:link w:val="HeaderChar"/>
    <w:rsid w:val="00A62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7F7"/>
    <w:rPr>
      <w:rFonts w:ascii="Times New Roman" w:eastAsia="Times New Roman" w:hAnsi="Times New Roman" w:cs="Times New Roman"/>
      <w:sz w:val="16"/>
      <w:szCs w:val="20"/>
      <w:lang w:val="en-GB" w:eastAsia="en-US"/>
    </w:rPr>
  </w:style>
  <w:style w:type="paragraph" w:customStyle="1" w:styleId="Chapter">
    <w:name w:val="Chapter"/>
    <w:basedOn w:val="Normal"/>
    <w:rsid w:val="00A627F7"/>
    <w:pPr>
      <w:spacing w:before="240"/>
    </w:pPr>
    <w:rPr>
      <w:rFonts w:ascii="Times New Roman" w:hAnsi="Times New Roman"/>
      <w:smallCaps/>
      <w:spacing w:val="80"/>
      <w:sz w:val="28"/>
    </w:rPr>
  </w:style>
  <w:style w:type="paragraph" w:customStyle="1" w:styleId="InChapter">
    <w:name w:val="InChapter"/>
    <w:basedOn w:val="Heading3"/>
    <w:rsid w:val="00A627F7"/>
    <w:pPr>
      <w:spacing w:after="240"/>
      <w:outlineLvl w:val="9"/>
    </w:pPr>
    <w:rPr>
      <w:noProof/>
    </w:rPr>
  </w:style>
  <w:style w:type="paragraph" w:styleId="Index2">
    <w:name w:val="index 2"/>
    <w:basedOn w:val="Normal"/>
    <w:next w:val="Normal"/>
    <w:semiHidden/>
    <w:rsid w:val="00A627F7"/>
    <w:pPr>
      <w:tabs>
        <w:tab w:val="right" w:pos="4176"/>
      </w:tabs>
      <w:ind w:left="568" w:hanging="284"/>
    </w:pPr>
    <w:rPr>
      <w:rFonts w:ascii="Garamond" w:hAnsi="Garamond"/>
    </w:rPr>
  </w:style>
  <w:style w:type="paragraph" w:customStyle="1" w:styleId="Byline">
    <w:name w:val="Byline"/>
    <w:rsid w:val="00A62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7F7"/>
    <w:pPr>
      <w:tabs>
        <w:tab w:val="clear" w:pos="3600"/>
        <w:tab w:val="clear" w:pos="3958"/>
      </w:tabs>
      <w:jc w:val="right"/>
    </w:pPr>
  </w:style>
  <w:style w:type="character" w:styleId="Emphasis">
    <w:name w:val="Emphasis"/>
    <w:basedOn w:val="DefaultParagraphFont"/>
    <w:qFormat/>
    <w:rsid w:val="00A627F7"/>
    <w:rPr>
      <w:i/>
    </w:rPr>
  </w:style>
  <w:style w:type="paragraph" w:styleId="Caption">
    <w:name w:val="caption"/>
    <w:basedOn w:val="BodyText"/>
    <w:next w:val="Normal"/>
    <w:qFormat/>
    <w:rsid w:val="00A627F7"/>
    <w:pPr>
      <w:framePr w:w="2268" w:hSpace="181" w:vSpace="181" w:wrap="around" w:vAnchor="text" w:hAnchor="page" w:x="1135" w:y="285" w:anchorLock="1"/>
    </w:pPr>
    <w:rPr>
      <w:i/>
    </w:rPr>
  </w:style>
  <w:style w:type="paragraph" w:customStyle="1" w:styleId="MiniTOCTitle">
    <w:name w:val="MiniTOCTitle"/>
    <w:basedOn w:val="Heading4"/>
    <w:rsid w:val="00A627F7"/>
    <w:pPr>
      <w:spacing w:before="240"/>
      <w:outlineLvl w:val="9"/>
    </w:pPr>
    <w:rPr>
      <w:noProof/>
      <w:sz w:val="24"/>
    </w:rPr>
  </w:style>
  <w:style w:type="paragraph" w:customStyle="1" w:styleId="MiniTOCItem">
    <w:name w:val="MiniTOCItem"/>
    <w:basedOn w:val="ListBullet"/>
    <w:rsid w:val="00A627F7"/>
    <w:pPr>
      <w:numPr>
        <w:numId w:val="0"/>
      </w:numPr>
      <w:tabs>
        <w:tab w:val="right" w:leader="dot" w:pos="6521"/>
      </w:tabs>
      <w:spacing w:before="0" w:after="0"/>
    </w:pPr>
  </w:style>
  <w:style w:type="paragraph" w:customStyle="1" w:styleId="TOFTitle">
    <w:name w:val="TOFTitle"/>
    <w:basedOn w:val="TOCTitle"/>
    <w:rsid w:val="00A627F7"/>
  </w:style>
  <w:style w:type="paragraph" w:styleId="TableofFigures">
    <w:name w:val="table of figures"/>
    <w:basedOn w:val="Normal"/>
    <w:next w:val="Normal"/>
    <w:semiHidden/>
    <w:rsid w:val="00A627F7"/>
    <w:pPr>
      <w:tabs>
        <w:tab w:val="right" w:leader="dot" w:pos="9072"/>
      </w:tabs>
      <w:ind w:left="970" w:hanging="403"/>
    </w:pPr>
    <w:rPr>
      <w:rFonts w:ascii="Times New Roman" w:hAnsi="Times New Roman"/>
      <w:b/>
    </w:rPr>
  </w:style>
  <w:style w:type="paragraph" w:styleId="ListNumber">
    <w:name w:val="List Number"/>
    <w:basedOn w:val="List"/>
    <w:rsid w:val="00A627F7"/>
    <w:pPr>
      <w:numPr>
        <w:numId w:val="15"/>
      </w:numPr>
      <w:tabs>
        <w:tab w:val="clear" w:pos="340"/>
      </w:tabs>
    </w:pPr>
  </w:style>
  <w:style w:type="character" w:customStyle="1" w:styleId="WingdingSymbols">
    <w:name w:val="Wingding Symbols"/>
    <w:rsid w:val="00A627F7"/>
    <w:rPr>
      <w:rFonts w:ascii="Wingdings" w:hAnsi="Wingdings"/>
    </w:rPr>
  </w:style>
  <w:style w:type="paragraph" w:customStyle="1" w:styleId="TableHeading">
    <w:name w:val="Table Heading"/>
    <w:basedOn w:val="HeadingBase"/>
    <w:rsid w:val="00A627F7"/>
    <w:pPr>
      <w:keepLines/>
      <w:pBdr>
        <w:bottom w:val="single" w:sz="6" w:space="1" w:color="918585"/>
      </w:pBdr>
      <w:spacing w:before="240"/>
    </w:pPr>
  </w:style>
  <w:style w:type="character" w:customStyle="1" w:styleId="HotSpot">
    <w:name w:val="HotSpot"/>
    <w:rsid w:val="00A627F7"/>
    <w:rPr>
      <w:color w:val="0033CC"/>
      <w:u w:val="none"/>
    </w:rPr>
  </w:style>
  <w:style w:type="paragraph" w:customStyle="1" w:styleId="BodyTextRight">
    <w:name w:val="Body Text Right"/>
    <w:basedOn w:val="BodyText"/>
    <w:rsid w:val="00A627F7"/>
    <w:pPr>
      <w:spacing w:before="0" w:after="0"/>
      <w:jc w:val="right"/>
    </w:pPr>
  </w:style>
  <w:style w:type="paragraph" w:styleId="Index3">
    <w:name w:val="index 3"/>
    <w:basedOn w:val="ListNumber2"/>
    <w:next w:val="Normal"/>
    <w:semiHidden/>
    <w:rsid w:val="00A627F7"/>
    <w:pPr>
      <w:numPr>
        <w:numId w:val="0"/>
      </w:numPr>
      <w:tabs>
        <w:tab w:val="right" w:leader="dot" w:pos="4176"/>
      </w:tabs>
    </w:pPr>
  </w:style>
  <w:style w:type="paragraph" w:styleId="ListNumber2">
    <w:name w:val="List Number 2"/>
    <w:basedOn w:val="List2"/>
    <w:rsid w:val="00A627F7"/>
    <w:pPr>
      <w:numPr>
        <w:numId w:val="10"/>
      </w:numPr>
      <w:tabs>
        <w:tab w:val="clear" w:pos="1060"/>
      </w:tabs>
    </w:pPr>
  </w:style>
  <w:style w:type="paragraph" w:customStyle="1" w:styleId="MarginNote">
    <w:name w:val="Margin Note"/>
    <w:basedOn w:val="BodyText"/>
    <w:rsid w:val="00A62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7F7"/>
    <w:rPr>
      <w:sz w:val="32"/>
    </w:rPr>
  </w:style>
  <w:style w:type="paragraph" w:customStyle="1" w:styleId="HeadingProcedure">
    <w:name w:val="Heading Procedure"/>
    <w:basedOn w:val="HeadingBase"/>
    <w:next w:val="Normal"/>
    <w:rsid w:val="00A627F7"/>
    <w:pPr>
      <w:tabs>
        <w:tab w:val="left" w:pos="0"/>
      </w:tabs>
      <w:spacing w:before="120" w:after="60"/>
    </w:pPr>
    <w:rPr>
      <w:i/>
      <w:color w:val="918585"/>
      <w:sz w:val="22"/>
    </w:rPr>
  </w:style>
  <w:style w:type="paragraph" w:customStyle="1" w:styleId="TableBodyText">
    <w:name w:val="Table Body Text"/>
    <w:basedOn w:val="BodyText"/>
    <w:rsid w:val="00A627F7"/>
    <w:pPr>
      <w:spacing w:before="60" w:after="60"/>
    </w:pPr>
  </w:style>
  <w:style w:type="paragraph" w:styleId="ListContinue">
    <w:name w:val="List Continue"/>
    <w:basedOn w:val="List"/>
    <w:rsid w:val="00A627F7"/>
    <w:pPr>
      <w:ind w:firstLine="0"/>
    </w:pPr>
  </w:style>
  <w:style w:type="paragraph" w:customStyle="1" w:styleId="ListNote">
    <w:name w:val="List Note"/>
    <w:basedOn w:val="List"/>
    <w:rsid w:val="00A627F7"/>
    <w:pPr>
      <w:pBdr>
        <w:top w:val="single" w:sz="6" w:space="2" w:color="918585"/>
        <w:bottom w:val="single" w:sz="6" w:space="2" w:color="918585"/>
      </w:pBdr>
      <w:tabs>
        <w:tab w:val="left" w:pos="1021"/>
      </w:tabs>
      <w:ind w:firstLine="0"/>
    </w:pPr>
  </w:style>
  <w:style w:type="paragraph" w:customStyle="1" w:styleId="Warning">
    <w:name w:val="Warning"/>
    <w:basedOn w:val="BodyText"/>
    <w:rsid w:val="00A627F7"/>
    <w:pPr>
      <w:shd w:val="clear" w:color="auto" w:fill="D9D9D9"/>
      <w:tabs>
        <w:tab w:val="left" w:pos="992"/>
      </w:tabs>
      <w:ind w:left="119" w:right="119"/>
    </w:pPr>
    <w:rPr>
      <w:sz w:val="20"/>
    </w:rPr>
  </w:style>
  <w:style w:type="paragraph" w:customStyle="1" w:styleId="MarginIcons">
    <w:name w:val="Margin Icons"/>
    <w:basedOn w:val="BodyText"/>
    <w:rsid w:val="00A62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7F7"/>
    <w:rPr>
      <w:rFonts w:ascii="Courier New" w:hAnsi="Courier New"/>
    </w:rPr>
  </w:style>
  <w:style w:type="paragraph" w:customStyle="1" w:styleId="NoteBullet">
    <w:name w:val="Note Bullet"/>
    <w:basedOn w:val="Note"/>
    <w:rsid w:val="00A627F7"/>
    <w:pPr>
      <w:tabs>
        <w:tab w:val="clear" w:pos="680"/>
      </w:tabs>
      <w:spacing w:before="60" w:after="60"/>
    </w:pPr>
  </w:style>
  <w:style w:type="paragraph" w:customStyle="1" w:styleId="SubHeading2">
    <w:name w:val="SubHeading2"/>
    <w:basedOn w:val="HeadingBase"/>
    <w:rsid w:val="00A627F7"/>
    <w:pPr>
      <w:spacing w:before="240" w:after="60"/>
    </w:pPr>
    <w:rPr>
      <w:sz w:val="20"/>
    </w:rPr>
  </w:style>
  <w:style w:type="paragraph" w:customStyle="1" w:styleId="SubHeading1">
    <w:name w:val="SubHeading1"/>
    <w:basedOn w:val="HeadingBase"/>
    <w:rsid w:val="00A627F7"/>
    <w:pPr>
      <w:spacing w:before="240" w:after="60"/>
    </w:pPr>
    <w:rPr>
      <w:color w:val="918585"/>
      <w:sz w:val="22"/>
    </w:rPr>
  </w:style>
  <w:style w:type="paragraph" w:customStyle="1" w:styleId="SideHeading">
    <w:name w:val="Side Heading"/>
    <w:basedOn w:val="HeadingBase"/>
    <w:rsid w:val="00A62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7F7"/>
    <w:pPr>
      <w:tabs>
        <w:tab w:val="num" w:pos="360"/>
      </w:tabs>
    </w:pPr>
  </w:style>
  <w:style w:type="paragraph" w:styleId="PlainText">
    <w:name w:val="Plain Text"/>
    <w:basedOn w:val="Normal"/>
    <w:link w:val="PlainTextChar"/>
    <w:rsid w:val="00A627F7"/>
    <w:rPr>
      <w:sz w:val="20"/>
    </w:rPr>
  </w:style>
  <w:style w:type="character" w:customStyle="1" w:styleId="PlainTextChar">
    <w:name w:val="Plain Text Char"/>
    <w:basedOn w:val="DefaultParagraphFont"/>
    <w:link w:val="PlainText"/>
    <w:rsid w:val="00A627F7"/>
    <w:rPr>
      <w:rFonts w:ascii="Courier New" w:eastAsia="Times New Roman" w:hAnsi="Courier New" w:cs="Times New Roman"/>
      <w:sz w:val="20"/>
      <w:szCs w:val="20"/>
      <w:lang w:eastAsia="en-US"/>
    </w:rPr>
  </w:style>
  <w:style w:type="character" w:customStyle="1" w:styleId="MenuOption">
    <w:name w:val="Menu Option"/>
    <w:basedOn w:val="DefaultParagraphFont"/>
    <w:rsid w:val="00A627F7"/>
    <w:rPr>
      <w:b/>
      <w:smallCaps/>
    </w:rPr>
  </w:style>
  <w:style w:type="paragraph" w:customStyle="1" w:styleId="TableListNumber">
    <w:name w:val="Table List Number"/>
    <w:basedOn w:val="ListNumber"/>
    <w:rsid w:val="00A627F7"/>
    <w:pPr>
      <w:numPr>
        <w:numId w:val="0"/>
      </w:numPr>
    </w:pPr>
  </w:style>
  <w:style w:type="paragraph" w:styleId="TOC4">
    <w:name w:val="toc 4"/>
    <w:basedOn w:val="TOCBase"/>
    <w:next w:val="Normal"/>
    <w:semiHidden/>
    <w:rsid w:val="00A627F7"/>
    <w:pPr>
      <w:tabs>
        <w:tab w:val="right" w:leader="dot" w:pos="9071"/>
      </w:tabs>
      <w:ind w:left="1701"/>
    </w:pPr>
  </w:style>
  <w:style w:type="paragraph" w:customStyle="1" w:styleId="ListAlpha">
    <w:name w:val="List Alpha"/>
    <w:basedOn w:val="List"/>
    <w:rsid w:val="00A627F7"/>
    <w:pPr>
      <w:numPr>
        <w:numId w:val="9"/>
      </w:numPr>
    </w:pPr>
  </w:style>
  <w:style w:type="paragraph" w:customStyle="1" w:styleId="ListAlpha2">
    <w:name w:val="List Alpha 2"/>
    <w:basedOn w:val="List2"/>
    <w:rsid w:val="00A627F7"/>
    <w:pPr>
      <w:numPr>
        <w:numId w:val="8"/>
      </w:numPr>
    </w:pPr>
  </w:style>
  <w:style w:type="paragraph" w:styleId="List2">
    <w:name w:val="List 2"/>
    <w:basedOn w:val="BodyText"/>
    <w:rsid w:val="00A627F7"/>
    <w:pPr>
      <w:tabs>
        <w:tab w:val="left" w:pos="680"/>
      </w:tabs>
      <w:spacing w:before="60" w:after="60"/>
      <w:ind w:left="680" w:hanging="340"/>
    </w:pPr>
  </w:style>
  <w:style w:type="paragraph" w:styleId="List3">
    <w:name w:val="List 3"/>
    <w:basedOn w:val="BodyText"/>
    <w:rsid w:val="00A627F7"/>
    <w:pPr>
      <w:tabs>
        <w:tab w:val="left" w:pos="1021"/>
      </w:tabs>
      <w:spacing w:before="60" w:after="60"/>
      <w:ind w:left="1020" w:hanging="340"/>
    </w:pPr>
  </w:style>
  <w:style w:type="paragraph" w:styleId="List4">
    <w:name w:val="List 4"/>
    <w:basedOn w:val="BodyText"/>
    <w:rsid w:val="00A627F7"/>
    <w:pPr>
      <w:tabs>
        <w:tab w:val="left" w:pos="1361"/>
      </w:tabs>
      <w:spacing w:before="60" w:after="60"/>
      <w:ind w:left="1361" w:hanging="340"/>
    </w:pPr>
  </w:style>
  <w:style w:type="paragraph" w:styleId="List5">
    <w:name w:val="List 5"/>
    <w:basedOn w:val="BodyText"/>
    <w:rsid w:val="00A627F7"/>
    <w:pPr>
      <w:tabs>
        <w:tab w:val="left" w:pos="1701"/>
      </w:tabs>
      <w:spacing w:before="60" w:after="60"/>
      <w:ind w:left="1701" w:hanging="340"/>
    </w:pPr>
  </w:style>
  <w:style w:type="paragraph" w:styleId="ListBullet3">
    <w:name w:val="List Bullet 3"/>
    <w:basedOn w:val="List3"/>
    <w:rsid w:val="00A627F7"/>
    <w:pPr>
      <w:numPr>
        <w:numId w:val="14"/>
      </w:numPr>
      <w:tabs>
        <w:tab w:val="clear" w:pos="1021"/>
      </w:tabs>
      <w:ind w:left="1037" w:hanging="357"/>
    </w:pPr>
  </w:style>
  <w:style w:type="paragraph" w:styleId="ListBullet4">
    <w:name w:val="List Bullet 4"/>
    <w:basedOn w:val="List4"/>
    <w:rsid w:val="00A627F7"/>
    <w:pPr>
      <w:numPr>
        <w:numId w:val="3"/>
      </w:numPr>
      <w:tabs>
        <w:tab w:val="clear" w:pos="1361"/>
      </w:tabs>
    </w:pPr>
  </w:style>
  <w:style w:type="paragraph" w:styleId="ListBullet5">
    <w:name w:val="List Bullet 5"/>
    <w:basedOn w:val="List5"/>
    <w:rsid w:val="00A627F7"/>
    <w:pPr>
      <w:numPr>
        <w:numId w:val="4"/>
      </w:numPr>
    </w:pPr>
  </w:style>
  <w:style w:type="paragraph" w:styleId="ListContinue2">
    <w:name w:val="List Continue 2"/>
    <w:basedOn w:val="List2"/>
    <w:rsid w:val="00A627F7"/>
    <w:pPr>
      <w:ind w:firstLine="0"/>
    </w:pPr>
  </w:style>
  <w:style w:type="paragraph" w:styleId="ListContinue3">
    <w:name w:val="List Continue 3"/>
    <w:basedOn w:val="List3"/>
    <w:rsid w:val="00A627F7"/>
    <w:pPr>
      <w:ind w:left="1021" w:firstLine="0"/>
    </w:pPr>
  </w:style>
  <w:style w:type="paragraph" w:styleId="ListContinue4">
    <w:name w:val="List Continue 4"/>
    <w:basedOn w:val="List4"/>
    <w:rsid w:val="00A627F7"/>
    <w:pPr>
      <w:ind w:firstLine="0"/>
    </w:pPr>
  </w:style>
  <w:style w:type="paragraph" w:styleId="ListContinue5">
    <w:name w:val="List Continue 5"/>
    <w:basedOn w:val="List5"/>
    <w:rsid w:val="00A627F7"/>
    <w:pPr>
      <w:ind w:firstLine="0"/>
    </w:pPr>
  </w:style>
  <w:style w:type="paragraph" w:styleId="ListNumber3">
    <w:name w:val="List Number 3"/>
    <w:basedOn w:val="List3"/>
    <w:rsid w:val="00A627F7"/>
    <w:pPr>
      <w:numPr>
        <w:numId w:val="5"/>
      </w:numPr>
    </w:pPr>
  </w:style>
  <w:style w:type="paragraph" w:styleId="ListNumber4">
    <w:name w:val="List Number 4"/>
    <w:basedOn w:val="List4"/>
    <w:rsid w:val="00A627F7"/>
    <w:pPr>
      <w:numPr>
        <w:numId w:val="6"/>
      </w:numPr>
    </w:pPr>
  </w:style>
  <w:style w:type="paragraph" w:styleId="ListNumber5">
    <w:name w:val="List Number 5"/>
    <w:basedOn w:val="List5"/>
    <w:rsid w:val="00A627F7"/>
    <w:pPr>
      <w:numPr>
        <w:numId w:val="7"/>
      </w:numPr>
    </w:pPr>
  </w:style>
  <w:style w:type="paragraph" w:styleId="BlockText">
    <w:name w:val="Block Text"/>
    <w:basedOn w:val="Normal"/>
    <w:rsid w:val="00A627F7"/>
    <w:pPr>
      <w:spacing w:after="120"/>
      <w:ind w:left="1440" w:right="1440"/>
    </w:pPr>
  </w:style>
  <w:style w:type="character" w:customStyle="1" w:styleId="Subscript">
    <w:name w:val="Subscript"/>
    <w:basedOn w:val="DefaultParagraphFont"/>
    <w:rsid w:val="00A627F7"/>
    <w:rPr>
      <w:sz w:val="16"/>
      <w:vertAlign w:val="subscript"/>
    </w:rPr>
  </w:style>
  <w:style w:type="character" w:customStyle="1" w:styleId="Superscript">
    <w:name w:val="Superscript"/>
    <w:basedOn w:val="DefaultParagraphFont"/>
    <w:rsid w:val="00A627F7"/>
    <w:rPr>
      <w:sz w:val="16"/>
      <w:vertAlign w:val="superscript"/>
    </w:rPr>
  </w:style>
  <w:style w:type="character" w:customStyle="1" w:styleId="Symbols">
    <w:name w:val="Symbols"/>
    <w:basedOn w:val="DefaultParagraphFont"/>
    <w:rsid w:val="00A627F7"/>
    <w:rPr>
      <w:rFonts w:ascii="Symbol" w:hAnsi="Symbol"/>
    </w:rPr>
  </w:style>
  <w:style w:type="character" w:customStyle="1" w:styleId="MenuOptions">
    <w:name w:val="Menu Options"/>
    <w:basedOn w:val="DefaultParagraphFont"/>
    <w:rsid w:val="00A627F7"/>
    <w:rPr>
      <w:rFonts w:ascii="Arial Narrow" w:hAnsi="Arial Narrow"/>
      <w:smallCaps/>
    </w:rPr>
  </w:style>
  <w:style w:type="character" w:customStyle="1" w:styleId="Buttons">
    <w:name w:val="Buttons"/>
    <w:basedOn w:val="DefaultParagraphFont"/>
    <w:rsid w:val="00A627F7"/>
    <w:rPr>
      <w:b/>
    </w:rPr>
  </w:style>
  <w:style w:type="character" w:customStyle="1" w:styleId="Underlined">
    <w:name w:val="Underlined"/>
    <w:basedOn w:val="DefaultParagraphFont"/>
    <w:rsid w:val="00A627F7"/>
    <w:rPr>
      <w:u w:val="single"/>
    </w:rPr>
  </w:style>
  <w:style w:type="paragraph" w:customStyle="1" w:styleId="TableBodyTextRight">
    <w:name w:val="Table Body Text Right"/>
    <w:basedOn w:val="TableBodyText"/>
    <w:rsid w:val="00A627F7"/>
    <w:pPr>
      <w:widowControl w:val="0"/>
      <w:autoSpaceDE w:val="0"/>
      <w:autoSpaceDN w:val="0"/>
      <w:adjustRightInd w:val="0"/>
      <w:jc w:val="right"/>
    </w:pPr>
    <w:rPr>
      <w:rFonts w:cs="Arial"/>
      <w:szCs w:val="18"/>
    </w:rPr>
  </w:style>
  <w:style w:type="paragraph" w:customStyle="1" w:styleId="CopyrightText">
    <w:name w:val="Copyright Text"/>
    <w:basedOn w:val="BodyText"/>
    <w:rsid w:val="00A627F7"/>
    <w:rPr>
      <w:sz w:val="18"/>
    </w:rPr>
  </w:style>
  <w:style w:type="paragraph" w:customStyle="1" w:styleId="BodySmallRight">
    <w:name w:val="Body Small Right"/>
    <w:basedOn w:val="BodyTextRight"/>
    <w:rsid w:val="00A627F7"/>
    <w:rPr>
      <w:sz w:val="18"/>
      <w:szCs w:val="18"/>
    </w:rPr>
  </w:style>
  <w:style w:type="paragraph" w:customStyle="1" w:styleId="MarginEdition">
    <w:name w:val="Margin Edition"/>
    <w:basedOn w:val="MarginNote"/>
    <w:rsid w:val="00A627F7"/>
    <w:pPr>
      <w:spacing w:before="0" w:after="0"/>
    </w:pPr>
    <w:rPr>
      <w:rFonts w:ascii="Times New Roman" w:hAnsi="Times New Roman"/>
      <w:color w:val="999999"/>
    </w:rPr>
  </w:style>
  <w:style w:type="paragraph" w:customStyle="1" w:styleId="Spacer">
    <w:name w:val="Spacer"/>
    <w:basedOn w:val="Normal"/>
    <w:rsid w:val="00A627F7"/>
    <w:rPr>
      <w:sz w:val="2"/>
      <w:szCs w:val="2"/>
    </w:rPr>
  </w:style>
  <w:style w:type="character" w:customStyle="1" w:styleId="Small">
    <w:name w:val="Small"/>
    <w:basedOn w:val="DefaultParagraphFont"/>
    <w:rsid w:val="00A627F7"/>
    <w:rPr>
      <w:sz w:val="16"/>
    </w:rPr>
  </w:style>
  <w:style w:type="paragraph" w:customStyle="1" w:styleId="WideTable">
    <w:name w:val="Wide Table"/>
    <w:basedOn w:val="Normal"/>
    <w:rsid w:val="00A627F7"/>
    <w:pPr>
      <w:ind w:left="-1418"/>
    </w:pPr>
    <w:rPr>
      <w:sz w:val="2"/>
      <w:szCs w:val="2"/>
    </w:rPr>
  </w:style>
  <w:style w:type="character" w:styleId="PageNumber">
    <w:name w:val="page number"/>
    <w:basedOn w:val="DefaultParagraphFont"/>
    <w:rsid w:val="00A627F7"/>
  </w:style>
  <w:style w:type="paragraph" w:styleId="Quote">
    <w:name w:val="Quote"/>
    <w:basedOn w:val="Heading1"/>
    <w:link w:val="QuoteChar"/>
    <w:qFormat/>
    <w:rsid w:val="00A627F7"/>
    <w:rPr>
      <w:b w:val="0"/>
      <w:sz w:val="72"/>
      <w:szCs w:val="72"/>
      <w:lang w:val="en-NZ"/>
    </w:rPr>
  </w:style>
  <w:style w:type="character" w:customStyle="1" w:styleId="QuoteChar">
    <w:name w:val="Quote Char"/>
    <w:basedOn w:val="DefaultParagraphFont"/>
    <w:link w:val="Quote"/>
    <w:rsid w:val="00A62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7F7"/>
    <w:pPr>
      <w:pageBreakBefore/>
    </w:pPr>
  </w:style>
  <w:style w:type="paragraph" w:customStyle="1" w:styleId="Border">
    <w:name w:val="Border"/>
    <w:basedOn w:val="Normal"/>
    <w:qFormat/>
    <w:rsid w:val="00A62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7F7"/>
    <w:rPr>
      <w:b/>
      <w:bCs/>
      <w:i/>
      <w:iCs/>
      <w:color w:val="auto"/>
    </w:rPr>
  </w:style>
  <w:style w:type="paragraph" w:styleId="IntenseQuote">
    <w:name w:val="Intense Quote"/>
    <w:basedOn w:val="Normal"/>
    <w:next w:val="Normal"/>
    <w:link w:val="IntenseQuoteChar"/>
    <w:uiPriority w:val="30"/>
    <w:qFormat/>
    <w:rsid w:val="00A62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7F7"/>
    <w:rPr>
      <w:smallCaps/>
      <w:color w:val="auto"/>
      <w:u w:val="single"/>
    </w:rPr>
  </w:style>
  <w:style w:type="character" w:styleId="IntenseReference">
    <w:name w:val="Intense Reference"/>
    <w:basedOn w:val="DefaultParagraphFont"/>
    <w:uiPriority w:val="32"/>
    <w:qFormat/>
    <w:rsid w:val="00A627F7"/>
    <w:rPr>
      <w:b/>
      <w:bCs/>
      <w:smallCaps/>
      <w:color w:val="auto"/>
      <w:spacing w:val="5"/>
      <w:u w:val="single"/>
    </w:rPr>
  </w:style>
  <w:style w:type="paragraph" w:customStyle="1" w:styleId="2ColumnHeading">
    <w:name w:val="2Column Heading"/>
    <w:basedOn w:val="BodyText"/>
    <w:qFormat/>
    <w:rsid w:val="00A627F7"/>
    <w:pPr>
      <w:spacing w:after="60"/>
      <w:ind w:left="-2268"/>
    </w:pPr>
    <w:rPr>
      <w:b/>
    </w:rPr>
  </w:style>
  <w:style w:type="paragraph" w:customStyle="1" w:styleId="Heading1TOC">
    <w:name w:val="Heading1 TOC"/>
    <w:basedOn w:val="Normal"/>
    <w:qFormat/>
    <w:rsid w:val="00A627F7"/>
    <w:pPr>
      <w:spacing w:before="240" w:after="120"/>
    </w:pPr>
    <w:rPr>
      <w:rFonts w:ascii="Times New Roman" w:hAnsi="Times New Roman"/>
      <w:b/>
      <w:sz w:val="32"/>
    </w:rPr>
  </w:style>
  <w:style w:type="paragraph" w:customStyle="1" w:styleId="Heading2TOC">
    <w:name w:val="Heading2 TOC"/>
    <w:basedOn w:val="Normal"/>
    <w:qFormat/>
    <w:rsid w:val="00A627F7"/>
    <w:pPr>
      <w:spacing w:before="240" w:after="60"/>
    </w:pPr>
    <w:rPr>
      <w:rFonts w:ascii="Times New Roman" w:hAnsi="Times New Roman"/>
      <w:b/>
      <w:sz w:val="28"/>
    </w:rPr>
  </w:style>
  <w:style w:type="character" w:customStyle="1" w:styleId="Underline">
    <w:name w:val="Underline"/>
    <w:basedOn w:val="DefaultParagraphFont"/>
    <w:qFormat/>
    <w:rsid w:val="00A627F7"/>
    <w:rPr>
      <w:u w:val="single"/>
    </w:rPr>
  </w:style>
  <w:style w:type="character" w:customStyle="1" w:styleId="BoldandItalics">
    <w:name w:val="Bold and Italics"/>
    <w:qFormat/>
    <w:rsid w:val="00A627F7"/>
    <w:rPr>
      <w:b/>
      <w:i/>
      <w:u w:val="none"/>
    </w:rPr>
  </w:style>
  <w:style w:type="paragraph" w:styleId="BalloonText">
    <w:name w:val="Balloon Text"/>
    <w:basedOn w:val="Normal"/>
    <w:link w:val="BalloonTextChar"/>
    <w:rsid w:val="00A627F7"/>
    <w:rPr>
      <w:rFonts w:ascii="Tahoma" w:hAnsi="Tahoma" w:cs="Tahoma"/>
      <w:sz w:val="16"/>
      <w:szCs w:val="16"/>
    </w:rPr>
  </w:style>
  <w:style w:type="character" w:customStyle="1" w:styleId="BalloonTextChar">
    <w:name w:val="Balloon Text Char"/>
    <w:basedOn w:val="DefaultParagraphFont"/>
    <w:link w:val="BalloonText"/>
    <w:rsid w:val="00A62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7F7"/>
    <w:rPr>
      <w:b/>
      <w:color w:val="660033"/>
      <w:spacing w:val="0"/>
    </w:rPr>
  </w:style>
  <w:style w:type="paragraph" w:customStyle="1" w:styleId="Nameditemlist">
    <w:name w:val="Named item list"/>
    <w:basedOn w:val="BodyText"/>
    <w:qFormat/>
    <w:rsid w:val="00A627F7"/>
    <w:pPr>
      <w:tabs>
        <w:tab w:val="left" w:pos="2835"/>
      </w:tabs>
      <w:ind w:left="2835" w:hanging="2835"/>
    </w:pPr>
  </w:style>
  <w:style w:type="paragraph" w:customStyle="1" w:styleId="BodyTextnopadding">
    <w:name w:val="Body Text no padding"/>
    <w:basedOn w:val="BodyText"/>
    <w:qFormat/>
    <w:rsid w:val="00A627F7"/>
    <w:pPr>
      <w:spacing w:before="0" w:after="0"/>
    </w:pPr>
  </w:style>
  <w:style w:type="paragraph" w:customStyle="1" w:styleId="BodyTextBold">
    <w:name w:val="Body Text Bold"/>
    <w:basedOn w:val="BodyText"/>
    <w:qFormat/>
    <w:rsid w:val="00A627F7"/>
    <w:rPr>
      <w:b/>
    </w:rPr>
  </w:style>
  <w:style w:type="character" w:styleId="Hyperlink">
    <w:name w:val="Hyperlink"/>
    <w:basedOn w:val="DefaultParagraphFont"/>
    <w:uiPriority w:val="99"/>
    <w:unhideWhenUsed/>
    <w:rsid w:val="00A02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7507</Characters>
  <Application>Microsoft Office Word</Application>
  <DocSecurity>0</DocSecurity>
  <Lines>268</Lines>
  <Paragraphs>150</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MSS015012 Conduct an emissions audit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