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A273A" w:rsidP="002A273A">
      <w:pPr>
        <w:pStyle w:val="Title"/>
      </w:pPr>
      <w:r>
        <w:fldChar w:fldCharType="begin"/>
      </w:r>
      <w:r>
        <w:instrText xml:space="preserve"> TITLE   \* MERGEFORMAT </w:instrText>
      </w:r>
      <w:r>
        <w:fldChar w:fldCharType="separate"/>
      </w:r>
      <w:r>
        <w:t>MSS015006 Report to Global Reporting Initiative guidelines</w:t>
      </w:r>
      <w:r>
        <w:fldChar w:fldCharType="end"/>
      </w:r>
    </w:p>
    <w:p w:rsidR="002A273A" w:rsidP="002A273A">
      <w:pPr>
        <w:pStyle w:val="Version"/>
        <w:sectPr w:rsidSect="00A8741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87410" w:rsidP="00A87410">
      <w:pPr>
        <w:pStyle w:val="SuperHeading"/>
      </w:pPr>
      <w:r w:rsidRPr="00A87410">
        <w:t>MSS015006 Report to Global Reporting Initiative guidelines</w:t>
      </w:r>
    </w:p>
    <w:p w:rsidR="00000000" w:rsidRPr="00A87410" w:rsidP="00A87410">
      <w:pPr>
        <w:pStyle w:val="Heading1"/>
      </w:pPr>
      <w:bookmarkStart w:id="1" w:name="O_923020"/>
      <w:bookmarkEnd w:id="1"/>
      <w:r w:rsidRPr="00A87410">
        <w:t>Modification History</w:t>
      </w:r>
    </w:p>
    <w:p w:rsidR="00000000" w:rsidRPr="00A87410" w:rsidP="002A273A">
      <w:pPr>
        <w:pStyle w:val="BodyText"/>
      </w:pPr>
      <w:r w:rsidRPr="00A87410">
        <w:t xml:space="preserve">Release 1. Supersedes and is equivalent to MSS015006A Report to Global Reporting Initiative guidelines. </w:t>
      </w:r>
    </w:p>
    <w:p w:rsidR="00000000" w:rsidRPr="00A87410" w:rsidP="00A87410">
      <w:pPr>
        <w:pStyle w:val="Heading1"/>
      </w:pPr>
      <w:bookmarkStart w:id="2" w:name="O_923028"/>
      <w:bookmarkEnd w:id="2"/>
      <w:r w:rsidRPr="00A87410">
        <w:t>Application</w:t>
      </w:r>
    </w:p>
    <w:p w:rsidR="00000000" w:rsidRPr="00A87410" w:rsidP="002A273A">
      <w:pPr>
        <w:pStyle w:val="BodyText"/>
      </w:pPr>
      <w:r w:rsidRPr="00A87410">
        <w:t>This unit of competency covers drafting reports to meet the Global Reporting Initiati</w:t>
      </w:r>
      <w:r w:rsidRPr="00A87410">
        <w:t>ve (GRI) guidelines and to self declare the application level.</w:t>
      </w:r>
    </w:p>
    <w:p w:rsidR="00000000" w:rsidRPr="00A87410" w:rsidP="002A273A">
      <w:pPr>
        <w:pStyle w:val="BodyText"/>
      </w:pPr>
      <w:r w:rsidRPr="00A87410">
        <w:t>This unit applies to individuals who seek to report on an organisation’s compliance against the GRI guidelines. The GRI provides an international and widely used sustainability reporting frame</w:t>
      </w:r>
      <w:r w:rsidRPr="00A87410">
        <w:t>work that many organisations choose to use.</w:t>
      </w:r>
    </w:p>
    <w:p w:rsidR="00000000" w:rsidRPr="00A87410" w:rsidP="002A273A">
      <w:pPr>
        <w:pStyle w:val="BodyText"/>
      </w:pPr>
      <w:r w:rsidRPr="00A87410">
        <w:t>This unit applies inside organisations and their value chains. The unit has been developed with manufacturing operations as a focus. However, because of the range of organisations in a typical manufacturing valu</w:t>
      </w:r>
      <w:r w:rsidRPr="00A87410">
        <w:t>e chain it may also be applied to other types of organisations. A manager or technical specialist who has a major responsibility for sustainability as part of a broader work role would typically undertake this, or sustainability may be their primary work r</w:t>
      </w:r>
      <w:r w:rsidRPr="00A87410">
        <w:t>esponsibility. The manager or technical specialist may undertake this alone or as part of a team.</w:t>
      </w:r>
    </w:p>
    <w:p w:rsidR="00000000" w:rsidRPr="00A87410" w:rsidP="002A273A">
      <w:pPr>
        <w:pStyle w:val="BodyText"/>
      </w:pPr>
      <w:r w:rsidRPr="00A87410">
        <w:t>The technical measurement of operational performance or measurement of emissions or other environmental impact is not covered by this unit. However, there is</w:t>
      </w:r>
      <w:r w:rsidRPr="00A87410">
        <w:t xml:space="preserve"> a requirement to present and organise data. The complexity of this requirement will vary according to the type and scale of the organisation’s processes. </w:t>
      </w:r>
    </w:p>
    <w:p w:rsidR="00000000" w:rsidRPr="00A87410" w:rsidP="002A273A">
      <w:pPr>
        <w:pStyle w:val="BodyText"/>
      </w:pPr>
      <w:r w:rsidRPr="00A87410">
        <w:t>No licensing, legislative or certification requirements apply to this unit at the time of publicati</w:t>
      </w:r>
      <w:r w:rsidRPr="00A87410">
        <w:t>on.</w:t>
      </w:r>
    </w:p>
    <w:p w:rsidR="00000000" w:rsidRPr="00A87410" w:rsidP="00A87410">
      <w:pPr>
        <w:pStyle w:val="Heading1"/>
      </w:pPr>
      <w:bookmarkStart w:id="3" w:name="O_923027"/>
      <w:bookmarkEnd w:id="3"/>
      <w:r w:rsidRPr="00A87410">
        <w:t>Pre-requisite Unit</w:t>
      </w:r>
    </w:p>
    <w:p w:rsidR="00000000" w:rsidRPr="00A87410" w:rsidP="002A273A">
      <w:pPr>
        <w:pStyle w:val="BodyText"/>
      </w:pPr>
      <w:r w:rsidRPr="00A87410">
        <w:t>Nil</w:t>
      </w:r>
    </w:p>
    <w:p w:rsidR="00000000" w:rsidRPr="00A87410" w:rsidP="00A87410">
      <w:pPr>
        <w:pStyle w:val="Heading1"/>
      </w:pPr>
      <w:bookmarkStart w:id="4" w:name="O_923026"/>
      <w:bookmarkEnd w:id="4"/>
      <w:r w:rsidRPr="00A87410">
        <w:t>Competency Field</w:t>
      </w:r>
    </w:p>
    <w:p w:rsidR="00000000" w:rsidRPr="00A87410" w:rsidP="002A273A">
      <w:pPr>
        <w:pStyle w:val="BodyText"/>
      </w:pPr>
      <w:r w:rsidRPr="00A87410">
        <w:t>Sustainable operations</w:t>
      </w:r>
    </w:p>
    <w:p w:rsidR="00000000" w:rsidRPr="00A87410" w:rsidP="00A87410">
      <w:pPr>
        <w:pStyle w:val="Heading1"/>
      </w:pPr>
      <w:bookmarkStart w:id="5" w:name="O_923025"/>
      <w:bookmarkEnd w:id="5"/>
      <w:r w:rsidRPr="00A87410">
        <w:t>Unit Sector</w:t>
      </w:r>
    </w:p>
    <w:p w:rsidR="00000000" w:rsidRPr="00A87410" w:rsidP="002A273A">
      <w:pPr>
        <w:pStyle w:val="BodyText"/>
      </w:pPr>
      <w:r w:rsidRPr="00A87410">
        <w:t>Not applicable</w:t>
      </w:r>
    </w:p>
    <w:p w:rsidR="00000000" w:rsidRPr="00A87410" w:rsidP="00A87410">
      <w:pPr>
        <w:pStyle w:val="Heading1"/>
      </w:pPr>
      <w:bookmarkStart w:id="6" w:name="O_923024"/>
      <w:bookmarkEnd w:id="6"/>
      <w:r w:rsidRPr="00A87410">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A87410">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A87410">
            <w:pPr>
              <w:pStyle w:val="BodyText"/>
              <w:rPr>
                <w:lang w:val="en-NZ"/>
              </w:rPr>
            </w:pPr>
            <w:r w:rsidRPr="00A87410">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A87410">
            <w:pPr>
              <w:pStyle w:val="BodyText"/>
              <w:rPr>
                <w:lang w:val="en-NZ"/>
              </w:rPr>
            </w:pPr>
            <w:r w:rsidRPr="00A87410">
              <w:t>Performance criteria describe the performance needed to demonstrate achievement of the element.</w:t>
            </w:r>
          </w:p>
        </w:tc>
      </w:tr>
      <w:tr w:rsidTr="00A8741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A87410" w:rsidP="00A87410">
            <w:pPr>
              <w:pStyle w:val="BodyText"/>
            </w:pPr>
            <w:r w:rsidRPr="00A87410">
              <w:t>1</w:t>
            </w:r>
          </w:p>
        </w:tc>
        <w:tc>
          <w:tcPr>
            <w:tcW w:w="1962" w:type="dxa"/>
            <w:vMerge w:val="restart"/>
            <w:tcBorders>
              <w:top w:val="nil"/>
              <w:left w:val="nil"/>
              <w:bottom w:val="nil"/>
              <w:right w:val="nil"/>
            </w:tcBorders>
            <w:tcMar>
              <w:top w:w="0" w:type="dxa"/>
              <w:left w:w="62" w:type="dxa"/>
              <w:bottom w:w="0" w:type="dxa"/>
              <w:right w:w="62" w:type="dxa"/>
            </w:tcMar>
          </w:tcPr>
          <w:p w:rsidR="00000000" w:rsidP="00A87410">
            <w:pPr>
              <w:pStyle w:val="BodyText"/>
              <w:rPr>
                <w:lang w:val="en-NZ"/>
              </w:rPr>
            </w:pPr>
            <w:r w:rsidRPr="00A87410">
              <w:rPr>
                <w:rStyle w:val="SpecialBold"/>
              </w:rPr>
              <w:t>Determine GRI report content, quality and boundary</w:t>
            </w:r>
          </w:p>
        </w:tc>
        <w:tc>
          <w:tcPr>
            <w:tcW w:w="770" w:type="dxa"/>
            <w:tcBorders>
              <w:top w:val="nil"/>
              <w:left w:val="nil"/>
              <w:bottom w:val="nil"/>
              <w:right w:val="nil"/>
            </w:tcBorders>
            <w:tcMar>
              <w:top w:w="0" w:type="dxa"/>
              <w:left w:w="62" w:type="dxa"/>
              <w:bottom w:w="0" w:type="dxa"/>
              <w:right w:w="62" w:type="dxa"/>
            </w:tcMar>
          </w:tcPr>
          <w:p w:rsidR="00000000" w:rsidP="00A87410">
            <w:pPr>
              <w:pStyle w:val="BodyText"/>
              <w:rPr>
                <w:lang w:val="en-NZ"/>
              </w:rPr>
            </w:pPr>
            <w:r w:rsidRPr="00A87410">
              <w:t>1.1</w:t>
            </w:r>
          </w:p>
        </w:tc>
        <w:tc>
          <w:tcPr>
            <w:tcW w:w="5610" w:type="dxa"/>
            <w:tcBorders>
              <w:top w:val="nil"/>
              <w:left w:val="nil"/>
              <w:bottom w:val="nil"/>
              <w:right w:val="nil"/>
            </w:tcBorders>
            <w:tcMar>
              <w:top w:w="0" w:type="dxa"/>
              <w:left w:w="62" w:type="dxa"/>
              <w:bottom w:w="0" w:type="dxa"/>
              <w:right w:w="62" w:type="dxa"/>
            </w:tcMar>
          </w:tcPr>
          <w:p w:rsidR="00000000" w:rsidP="00A87410">
            <w:pPr>
              <w:pStyle w:val="BodyText"/>
              <w:rPr>
                <w:lang w:val="en-NZ"/>
              </w:rPr>
            </w:pPr>
            <w:r w:rsidRPr="00A87410">
              <w:t>Identify appropriate report scope.</w:t>
            </w:r>
          </w:p>
        </w:tc>
      </w:tr>
      <w:tr w:rsidTr="00A8741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87410">
            <w:pPr>
              <w:pStyle w:val="BodyText"/>
              <w:rPr>
                <w:lang w:val="en-NZ"/>
              </w:rPr>
            </w:pPr>
            <w:r w:rsidRPr="00A87410">
              <w:t>1.2</w:t>
            </w:r>
          </w:p>
        </w:tc>
        <w:tc>
          <w:tcPr>
            <w:tcW w:w="5610" w:type="dxa"/>
            <w:tcBorders>
              <w:top w:val="nil"/>
              <w:left w:val="nil"/>
              <w:bottom w:val="nil"/>
              <w:right w:val="nil"/>
            </w:tcBorders>
            <w:tcMar>
              <w:top w:w="0" w:type="dxa"/>
              <w:left w:w="62" w:type="dxa"/>
              <w:bottom w:w="0" w:type="dxa"/>
              <w:right w:w="62" w:type="dxa"/>
            </w:tcMar>
          </w:tcPr>
          <w:p w:rsidR="00000000" w:rsidP="00A87410">
            <w:pPr>
              <w:pStyle w:val="BodyText"/>
              <w:rPr>
                <w:lang w:val="en-NZ"/>
              </w:rPr>
            </w:pPr>
            <w:r w:rsidRPr="00A87410">
              <w:t>Identify appropriate report boundaries.</w:t>
            </w:r>
          </w:p>
        </w:tc>
      </w:tr>
      <w:tr w:rsidTr="00A8741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87410">
            <w:pPr>
              <w:pStyle w:val="BodyText"/>
              <w:rPr>
                <w:lang w:val="en-NZ"/>
              </w:rPr>
            </w:pPr>
            <w:r w:rsidRPr="00A87410">
              <w:t>1.3</w:t>
            </w:r>
          </w:p>
        </w:tc>
        <w:tc>
          <w:tcPr>
            <w:tcW w:w="5610" w:type="dxa"/>
            <w:tcBorders>
              <w:top w:val="nil"/>
              <w:left w:val="nil"/>
              <w:bottom w:val="nil"/>
              <w:right w:val="nil"/>
            </w:tcBorders>
            <w:tcMar>
              <w:top w:w="0" w:type="dxa"/>
              <w:left w:w="62" w:type="dxa"/>
              <w:bottom w:w="0" w:type="dxa"/>
              <w:right w:w="62" w:type="dxa"/>
            </w:tcMar>
          </w:tcPr>
          <w:p w:rsidR="00000000" w:rsidP="00A87410">
            <w:pPr>
              <w:pStyle w:val="BodyText"/>
              <w:rPr>
                <w:lang w:val="en-NZ"/>
              </w:rPr>
            </w:pPr>
            <w:r w:rsidRPr="00A87410">
              <w:t>Identify appropriate application level.</w:t>
            </w:r>
          </w:p>
        </w:tc>
      </w:tr>
      <w:tr w:rsidTr="00A8741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87410">
            <w:pPr>
              <w:pStyle w:val="BodyText"/>
              <w:rPr>
                <w:lang w:val="en-NZ"/>
              </w:rPr>
            </w:pPr>
            <w:r w:rsidRPr="00A87410">
              <w:t>1.4</w:t>
            </w:r>
          </w:p>
        </w:tc>
        <w:tc>
          <w:tcPr>
            <w:tcW w:w="5610" w:type="dxa"/>
            <w:tcBorders>
              <w:top w:val="nil"/>
              <w:left w:val="nil"/>
              <w:bottom w:val="nil"/>
              <w:right w:val="nil"/>
            </w:tcBorders>
            <w:tcMar>
              <w:top w:w="0" w:type="dxa"/>
              <w:left w:w="62" w:type="dxa"/>
              <w:bottom w:w="0" w:type="dxa"/>
              <w:right w:w="62" w:type="dxa"/>
            </w:tcMar>
          </w:tcPr>
          <w:p w:rsidR="00000000" w:rsidP="00A87410">
            <w:pPr>
              <w:pStyle w:val="BodyText"/>
              <w:rPr>
                <w:lang w:val="en-NZ"/>
              </w:rPr>
            </w:pPr>
            <w:r w:rsidRPr="00A87410">
              <w:t>Identify any appropriate supplements to the report.</w:t>
            </w:r>
          </w:p>
        </w:tc>
      </w:tr>
      <w:tr w:rsidTr="00A8741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87410">
            <w:pPr>
              <w:pStyle w:val="BodyText"/>
              <w:rPr>
                <w:lang w:val="en-NZ"/>
              </w:rPr>
            </w:pPr>
            <w:r w:rsidRPr="00A87410">
              <w:t>1.5</w:t>
            </w:r>
          </w:p>
        </w:tc>
        <w:tc>
          <w:tcPr>
            <w:tcW w:w="5610" w:type="dxa"/>
            <w:tcBorders>
              <w:top w:val="nil"/>
              <w:left w:val="nil"/>
              <w:bottom w:val="nil"/>
              <w:right w:val="nil"/>
            </w:tcBorders>
            <w:tcMar>
              <w:top w:w="0" w:type="dxa"/>
              <w:left w:w="62" w:type="dxa"/>
              <w:bottom w:w="0" w:type="dxa"/>
              <w:right w:w="62" w:type="dxa"/>
            </w:tcMar>
          </w:tcPr>
          <w:p w:rsidR="00000000" w:rsidP="00A87410">
            <w:pPr>
              <w:pStyle w:val="BodyText"/>
              <w:rPr>
                <w:lang w:val="en-NZ"/>
              </w:rPr>
            </w:pPr>
            <w:r w:rsidRPr="00A87410">
              <w:t>Determine the implications for scope, boundaries, application level and supplements of the report.</w:t>
            </w:r>
          </w:p>
        </w:tc>
      </w:tr>
      <w:tr w:rsidTr="00A8741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87410">
            <w:pPr>
              <w:pStyle w:val="BodyText"/>
              <w:rPr>
                <w:lang w:val="en-NZ"/>
              </w:rPr>
            </w:pPr>
            <w:r w:rsidRPr="00A87410">
              <w:t>1.6</w:t>
            </w:r>
          </w:p>
        </w:tc>
        <w:tc>
          <w:tcPr>
            <w:tcW w:w="5610" w:type="dxa"/>
            <w:tcBorders>
              <w:top w:val="nil"/>
              <w:left w:val="nil"/>
              <w:bottom w:val="nil"/>
              <w:right w:val="nil"/>
            </w:tcBorders>
            <w:tcMar>
              <w:top w:w="0" w:type="dxa"/>
              <w:left w:w="62" w:type="dxa"/>
              <w:bottom w:w="0" w:type="dxa"/>
              <w:right w:w="62" w:type="dxa"/>
            </w:tcMar>
          </w:tcPr>
          <w:p w:rsidR="00000000" w:rsidP="00A87410">
            <w:pPr>
              <w:pStyle w:val="BodyText"/>
              <w:rPr>
                <w:lang w:val="en-NZ"/>
              </w:rPr>
            </w:pPr>
            <w:r w:rsidRPr="00A87410">
              <w:t>Confirm the adoption of GRI factors with rel</w:t>
            </w:r>
            <w:r w:rsidRPr="00A87410">
              <w:t>evant stakeholders.</w:t>
            </w:r>
          </w:p>
        </w:tc>
      </w:tr>
      <w:tr w:rsidTr="00A87410">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A87410">
            <w:pPr>
              <w:pStyle w:val="BodyText"/>
              <w:rPr>
                <w:lang w:val="en-NZ"/>
              </w:rPr>
            </w:pPr>
          </w:p>
        </w:tc>
      </w:tr>
      <w:tr w:rsidTr="00A8741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A87410" w:rsidP="00A87410">
            <w:pPr>
              <w:pStyle w:val="BodyText"/>
            </w:pPr>
            <w:r w:rsidRPr="00A87410">
              <w:t>2</w:t>
            </w:r>
          </w:p>
        </w:tc>
        <w:tc>
          <w:tcPr>
            <w:tcW w:w="1962" w:type="dxa"/>
            <w:vMerge w:val="restart"/>
            <w:tcBorders>
              <w:top w:val="nil"/>
              <w:left w:val="nil"/>
              <w:bottom w:val="nil"/>
              <w:right w:val="nil"/>
            </w:tcBorders>
            <w:tcMar>
              <w:top w:w="0" w:type="dxa"/>
              <w:left w:w="62" w:type="dxa"/>
              <w:bottom w:w="0" w:type="dxa"/>
              <w:right w:w="62" w:type="dxa"/>
            </w:tcMar>
          </w:tcPr>
          <w:p w:rsidR="00000000" w:rsidP="00A87410">
            <w:pPr>
              <w:pStyle w:val="BodyText"/>
              <w:rPr>
                <w:lang w:val="en-NZ"/>
              </w:rPr>
            </w:pPr>
            <w:r w:rsidRPr="00A87410">
              <w:rPr>
                <w:rStyle w:val="SpecialBold"/>
              </w:rPr>
              <w:t>Draft GRI standard disclosures</w:t>
            </w:r>
          </w:p>
        </w:tc>
        <w:tc>
          <w:tcPr>
            <w:tcW w:w="770" w:type="dxa"/>
            <w:tcBorders>
              <w:top w:val="nil"/>
              <w:left w:val="nil"/>
              <w:bottom w:val="nil"/>
              <w:right w:val="nil"/>
            </w:tcBorders>
            <w:tcMar>
              <w:top w:w="0" w:type="dxa"/>
              <w:left w:w="62" w:type="dxa"/>
              <w:bottom w:w="0" w:type="dxa"/>
              <w:right w:w="62" w:type="dxa"/>
            </w:tcMar>
          </w:tcPr>
          <w:p w:rsidR="00000000" w:rsidP="00A87410">
            <w:pPr>
              <w:pStyle w:val="BodyText"/>
              <w:rPr>
                <w:lang w:val="en-NZ"/>
              </w:rPr>
            </w:pPr>
            <w:r w:rsidRPr="00A87410">
              <w:t>2.1</w:t>
            </w:r>
          </w:p>
        </w:tc>
        <w:tc>
          <w:tcPr>
            <w:tcW w:w="5610" w:type="dxa"/>
            <w:tcBorders>
              <w:top w:val="nil"/>
              <w:left w:val="nil"/>
              <w:bottom w:val="nil"/>
              <w:right w:val="nil"/>
            </w:tcBorders>
            <w:tcMar>
              <w:top w:w="0" w:type="dxa"/>
              <w:left w:w="62" w:type="dxa"/>
              <w:bottom w:w="0" w:type="dxa"/>
              <w:right w:w="62" w:type="dxa"/>
            </w:tcMar>
          </w:tcPr>
          <w:p w:rsidR="00000000" w:rsidP="00A87410">
            <w:pPr>
              <w:pStyle w:val="BodyText"/>
              <w:rPr>
                <w:lang w:val="en-NZ"/>
              </w:rPr>
            </w:pPr>
            <w:r w:rsidRPr="00A87410">
              <w:t>Identify data required to complete standard disclosures.</w:t>
            </w:r>
          </w:p>
        </w:tc>
      </w:tr>
      <w:tr w:rsidTr="00A8741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87410">
            <w:pPr>
              <w:pStyle w:val="BodyText"/>
              <w:rPr>
                <w:lang w:val="en-NZ"/>
              </w:rPr>
            </w:pPr>
            <w:r w:rsidRPr="00A87410">
              <w:t>2.2</w:t>
            </w:r>
          </w:p>
        </w:tc>
        <w:tc>
          <w:tcPr>
            <w:tcW w:w="5610" w:type="dxa"/>
            <w:tcBorders>
              <w:top w:val="nil"/>
              <w:left w:val="nil"/>
              <w:bottom w:val="nil"/>
              <w:right w:val="nil"/>
            </w:tcBorders>
            <w:tcMar>
              <w:top w:w="0" w:type="dxa"/>
              <w:left w:w="62" w:type="dxa"/>
              <w:bottom w:w="0" w:type="dxa"/>
              <w:right w:w="62" w:type="dxa"/>
            </w:tcMar>
          </w:tcPr>
          <w:p w:rsidR="00000000" w:rsidP="00A87410">
            <w:pPr>
              <w:pStyle w:val="BodyText"/>
              <w:rPr>
                <w:lang w:val="en-NZ"/>
              </w:rPr>
            </w:pPr>
            <w:r w:rsidRPr="00A87410">
              <w:t>Negotiate with relevant stakeholders to obtain any required data not currently available.</w:t>
            </w:r>
          </w:p>
        </w:tc>
      </w:tr>
      <w:tr w:rsidTr="00A8741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87410">
            <w:pPr>
              <w:pStyle w:val="BodyText"/>
              <w:rPr>
                <w:lang w:val="en-NZ"/>
              </w:rPr>
            </w:pPr>
            <w:r w:rsidRPr="00A87410">
              <w:t>2.3</w:t>
            </w:r>
          </w:p>
        </w:tc>
        <w:tc>
          <w:tcPr>
            <w:tcW w:w="5610" w:type="dxa"/>
            <w:tcBorders>
              <w:top w:val="nil"/>
              <w:left w:val="nil"/>
              <w:bottom w:val="nil"/>
              <w:right w:val="nil"/>
            </w:tcBorders>
            <w:tcMar>
              <w:top w:w="0" w:type="dxa"/>
              <w:left w:w="62" w:type="dxa"/>
              <w:bottom w:w="0" w:type="dxa"/>
              <w:right w:w="62" w:type="dxa"/>
            </w:tcMar>
          </w:tcPr>
          <w:p w:rsidR="00000000" w:rsidP="00A87410">
            <w:pPr>
              <w:pStyle w:val="BodyText"/>
              <w:rPr>
                <w:lang w:val="en-NZ"/>
              </w:rPr>
            </w:pPr>
            <w:r w:rsidRPr="00A87410">
              <w:t>Ensure systems are in place to convert data to required information.</w:t>
            </w:r>
          </w:p>
        </w:tc>
      </w:tr>
      <w:tr w:rsidTr="00A8741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87410">
            <w:pPr>
              <w:pStyle w:val="BodyText"/>
              <w:rPr>
                <w:lang w:val="en-NZ"/>
              </w:rPr>
            </w:pPr>
            <w:r w:rsidRPr="00A87410">
              <w:t>2.4</w:t>
            </w:r>
          </w:p>
        </w:tc>
        <w:tc>
          <w:tcPr>
            <w:tcW w:w="5610" w:type="dxa"/>
            <w:tcBorders>
              <w:top w:val="nil"/>
              <w:left w:val="nil"/>
              <w:bottom w:val="nil"/>
              <w:right w:val="nil"/>
            </w:tcBorders>
            <w:tcMar>
              <w:top w:w="0" w:type="dxa"/>
              <w:left w:w="62" w:type="dxa"/>
              <w:bottom w:w="0" w:type="dxa"/>
              <w:right w:w="62" w:type="dxa"/>
            </w:tcMar>
          </w:tcPr>
          <w:p w:rsidR="00000000" w:rsidP="00A87410">
            <w:pPr>
              <w:pStyle w:val="BodyText"/>
              <w:rPr>
                <w:lang w:val="en-NZ"/>
              </w:rPr>
            </w:pPr>
            <w:r w:rsidRPr="00A87410">
              <w:t>Ensure the timely availability of the required information.</w:t>
            </w:r>
          </w:p>
        </w:tc>
      </w:tr>
      <w:tr w:rsidTr="00A8741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87410">
            <w:pPr>
              <w:pStyle w:val="BodyText"/>
              <w:rPr>
                <w:lang w:val="en-NZ"/>
              </w:rPr>
            </w:pPr>
            <w:r w:rsidRPr="00A87410">
              <w:t>2.5</w:t>
            </w:r>
          </w:p>
        </w:tc>
        <w:tc>
          <w:tcPr>
            <w:tcW w:w="5610" w:type="dxa"/>
            <w:tcBorders>
              <w:top w:val="nil"/>
              <w:left w:val="nil"/>
              <w:bottom w:val="nil"/>
              <w:right w:val="nil"/>
            </w:tcBorders>
            <w:tcMar>
              <w:top w:w="0" w:type="dxa"/>
              <w:left w:w="62" w:type="dxa"/>
              <w:bottom w:w="0" w:type="dxa"/>
              <w:right w:w="62" w:type="dxa"/>
            </w:tcMar>
          </w:tcPr>
          <w:p w:rsidR="00000000" w:rsidP="00A87410">
            <w:pPr>
              <w:pStyle w:val="BodyText"/>
              <w:rPr>
                <w:lang w:val="en-NZ"/>
              </w:rPr>
            </w:pPr>
            <w:r w:rsidRPr="00A87410">
              <w:t>Draft standard disclosures.</w:t>
            </w:r>
          </w:p>
        </w:tc>
      </w:tr>
      <w:tr w:rsidTr="00A87410">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A87410">
            <w:pPr>
              <w:pStyle w:val="BodyText"/>
              <w:rPr>
                <w:lang w:val="en-NZ"/>
              </w:rPr>
            </w:pPr>
          </w:p>
        </w:tc>
      </w:tr>
      <w:tr w:rsidTr="00A8741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A87410" w:rsidP="00A87410">
            <w:pPr>
              <w:pStyle w:val="BodyText"/>
            </w:pPr>
            <w:r w:rsidRPr="00A87410">
              <w:t>3</w:t>
            </w:r>
          </w:p>
        </w:tc>
        <w:tc>
          <w:tcPr>
            <w:tcW w:w="1962" w:type="dxa"/>
            <w:vMerge w:val="restart"/>
            <w:tcBorders>
              <w:top w:val="nil"/>
              <w:left w:val="nil"/>
              <w:bottom w:val="nil"/>
              <w:right w:val="nil"/>
            </w:tcBorders>
            <w:tcMar>
              <w:top w:w="0" w:type="dxa"/>
              <w:left w:w="62" w:type="dxa"/>
              <w:bottom w:w="0" w:type="dxa"/>
              <w:right w:w="62" w:type="dxa"/>
            </w:tcMar>
          </w:tcPr>
          <w:p w:rsidR="00000000" w:rsidP="00A87410">
            <w:pPr>
              <w:pStyle w:val="BodyText"/>
              <w:rPr>
                <w:lang w:val="en-NZ"/>
              </w:rPr>
            </w:pPr>
            <w:r w:rsidRPr="00A87410">
              <w:rPr>
                <w:rStyle w:val="SpecialBold"/>
              </w:rPr>
              <w:t>Draft any GRI supplements</w:t>
            </w:r>
          </w:p>
        </w:tc>
        <w:tc>
          <w:tcPr>
            <w:tcW w:w="770" w:type="dxa"/>
            <w:tcBorders>
              <w:top w:val="nil"/>
              <w:left w:val="nil"/>
              <w:bottom w:val="nil"/>
              <w:right w:val="nil"/>
            </w:tcBorders>
            <w:tcMar>
              <w:top w:w="0" w:type="dxa"/>
              <w:left w:w="62" w:type="dxa"/>
              <w:bottom w:w="0" w:type="dxa"/>
              <w:right w:w="62" w:type="dxa"/>
            </w:tcMar>
          </w:tcPr>
          <w:p w:rsidR="00000000" w:rsidP="00A87410">
            <w:pPr>
              <w:pStyle w:val="BodyText"/>
              <w:rPr>
                <w:lang w:val="en-NZ"/>
              </w:rPr>
            </w:pPr>
            <w:r w:rsidRPr="00A87410">
              <w:t>3.1</w:t>
            </w:r>
          </w:p>
        </w:tc>
        <w:tc>
          <w:tcPr>
            <w:tcW w:w="5610" w:type="dxa"/>
            <w:tcBorders>
              <w:top w:val="nil"/>
              <w:left w:val="nil"/>
              <w:bottom w:val="nil"/>
              <w:right w:val="nil"/>
            </w:tcBorders>
            <w:tcMar>
              <w:top w:w="0" w:type="dxa"/>
              <w:left w:w="62" w:type="dxa"/>
              <w:bottom w:w="0" w:type="dxa"/>
              <w:right w:w="62" w:type="dxa"/>
            </w:tcMar>
          </w:tcPr>
          <w:p w:rsidR="00000000" w:rsidP="00A87410">
            <w:pPr>
              <w:pStyle w:val="BodyText"/>
              <w:rPr>
                <w:lang w:val="en-NZ"/>
              </w:rPr>
            </w:pPr>
            <w:r w:rsidRPr="00A87410">
              <w:t>Identify data required to complete supplements.</w:t>
            </w:r>
          </w:p>
        </w:tc>
      </w:tr>
      <w:tr w:rsidTr="00A8741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87410">
            <w:pPr>
              <w:pStyle w:val="BodyText"/>
              <w:rPr>
                <w:lang w:val="en-NZ"/>
              </w:rPr>
            </w:pPr>
            <w:r w:rsidRPr="00A87410">
              <w:t>3.2</w:t>
            </w:r>
          </w:p>
        </w:tc>
        <w:tc>
          <w:tcPr>
            <w:tcW w:w="5610" w:type="dxa"/>
            <w:tcBorders>
              <w:top w:val="nil"/>
              <w:left w:val="nil"/>
              <w:bottom w:val="nil"/>
              <w:right w:val="nil"/>
            </w:tcBorders>
            <w:tcMar>
              <w:top w:w="0" w:type="dxa"/>
              <w:left w:w="62" w:type="dxa"/>
              <w:bottom w:w="0" w:type="dxa"/>
              <w:right w:w="62" w:type="dxa"/>
            </w:tcMar>
          </w:tcPr>
          <w:p w:rsidR="00000000" w:rsidP="00A87410">
            <w:pPr>
              <w:pStyle w:val="BodyText"/>
              <w:rPr>
                <w:lang w:val="en-NZ"/>
              </w:rPr>
            </w:pPr>
            <w:r w:rsidRPr="00A87410">
              <w:t>Negotiate with relevant stakeholders to obtain any required data not currently available.</w:t>
            </w:r>
          </w:p>
        </w:tc>
      </w:tr>
      <w:tr w:rsidTr="00A8741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87410">
            <w:pPr>
              <w:pStyle w:val="BodyText"/>
              <w:rPr>
                <w:lang w:val="en-NZ"/>
              </w:rPr>
            </w:pPr>
            <w:r w:rsidRPr="00A87410">
              <w:t>3.3</w:t>
            </w:r>
          </w:p>
        </w:tc>
        <w:tc>
          <w:tcPr>
            <w:tcW w:w="5610" w:type="dxa"/>
            <w:tcBorders>
              <w:top w:val="nil"/>
              <w:left w:val="nil"/>
              <w:bottom w:val="nil"/>
              <w:right w:val="nil"/>
            </w:tcBorders>
            <w:tcMar>
              <w:top w:w="0" w:type="dxa"/>
              <w:left w:w="62" w:type="dxa"/>
              <w:bottom w:w="0" w:type="dxa"/>
              <w:right w:w="62" w:type="dxa"/>
            </w:tcMar>
          </w:tcPr>
          <w:p w:rsidR="00000000" w:rsidP="00A87410">
            <w:pPr>
              <w:pStyle w:val="BodyText"/>
              <w:rPr>
                <w:lang w:val="en-NZ"/>
              </w:rPr>
            </w:pPr>
            <w:r w:rsidRPr="00A87410">
              <w:t>Ensure systems are in place to convert data to required information.</w:t>
            </w:r>
          </w:p>
        </w:tc>
      </w:tr>
      <w:tr w:rsidTr="00A8741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87410">
            <w:pPr>
              <w:pStyle w:val="BodyText"/>
              <w:rPr>
                <w:lang w:val="en-NZ"/>
              </w:rPr>
            </w:pPr>
            <w:r w:rsidRPr="00A87410">
              <w:t>3.4</w:t>
            </w:r>
          </w:p>
        </w:tc>
        <w:tc>
          <w:tcPr>
            <w:tcW w:w="5610" w:type="dxa"/>
            <w:tcBorders>
              <w:top w:val="nil"/>
              <w:left w:val="nil"/>
              <w:bottom w:val="nil"/>
              <w:right w:val="nil"/>
            </w:tcBorders>
            <w:tcMar>
              <w:top w:w="0" w:type="dxa"/>
              <w:left w:w="62" w:type="dxa"/>
              <w:bottom w:w="0" w:type="dxa"/>
              <w:right w:w="62" w:type="dxa"/>
            </w:tcMar>
          </w:tcPr>
          <w:p w:rsidR="00000000" w:rsidP="00A87410">
            <w:pPr>
              <w:pStyle w:val="BodyText"/>
              <w:rPr>
                <w:lang w:val="en-NZ"/>
              </w:rPr>
            </w:pPr>
            <w:r w:rsidRPr="00A87410">
              <w:t xml:space="preserve">Ensure the timely availability of the required </w:t>
            </w:r>
            <w:r w:rsidRPr="00A87410">
              <w:t>information.</w:t>
            </w:r>
          </w:p>
        </w:tc>
      </w:tr>
      <w:tr w:rsidTr="00A8741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87410">
            <w:pPr>
              <w:pStyle w:val="BodyText"/>
              <w:rPr>
                <w:lang w:val="en-NZ"/>
              </w:rPr>
            </w:pPr>
            <w:r w:rsidRPr="00A87410">
              <w:t>3.5</w:t>
            </w:r>
          </w:p>
        </w:tc>
        <w:tc>
          <w:tcPr>
            <w:tcW w:w="5610" w:type="dxa"/>
            <w:tcBorders>
              <w:top w:val="nil"/>
              <w:left w:val="nil"/>
              <w:bottom w:val="nil"/>
              <w:right w:val="nil"/>
            </w:tcBorders>
            <w:tcMar>
              <w:top w:w="0" w:type="dxa"/>
              <w:left w:w="62" w:type="dxa"/>
              <w:bottom w:w="0" w:type="dxa"/>
              <w:right w:w="62" w:type="dxa"/>
            </w:tcMar>
          </w:tcPr>
          <w:p w:rsidR="00000000" w:rsidP="00A87410">
            <w:pPr>
              <w:pStyle w:val="BodyText"/>
              <w:rPr>
                <w:lang w:val="en-NZ"/>
              </w:rPr>
            </w:pPr>
            <w:r w:rsidRPr="00A87410">
              <w:t>Draft supplements.</w:t>
            </w:r>
          </w:p>
        </w:tc>
      </w:tr>
      <w:tr w:rsidTr="00A87410">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A87410">
            <w:pPr>
              <w:pStyle w:val="BodyText"/>
              <w:rPr>
                <w:lang w:val="en-NZ"/>
              </w:rPr>
            </w:pPr>
          </w:p>
        </w:tc>
      </w:tr>
      <w:tr w:rsidTr="00A8741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A87410" w:rsidP="00A87410">
            <w:pPr>
              <w:pStyle w:val="BodyText"/>
            </w:pPr>
            <w:r w:rsidRPr="00A87410">
              <w:t>4</w:t>
            </w:r>
          </w:p>
        </w:tc>
        <w:tc>
          <w:tcPr>
            <w:tcW w:w="1962" w:type="dxa"/>
            <w:vMerge w:val="restart"/>
            <w:tcBorders>
              <w:top w:val="nil"/>
              <w:left w:val="nil"/>
              <w:bottom w:val="nil"/>
              <w:right w:val="nil"/>
            </w:tcBorders>
            <w:tcMar>
              <w:top w:w="0" w:type="dxa"/>
              <w:left w:w="62" w:type="dxa"/>
              <w:bottom w:w="0" w:type="dxa"/>
              <w:right w:w="62" w:type="dxa"/>
            </w:tcMar>
          </w:tcPr>
          <w:p w:rsidR="00000000" w:rsidP="00A87410">
            <w:pPr>
              <w:pStyle w:val="BodyText"/>
              <w:rPr>
                <w:lang w:val="en-NZ"/>
              </w:rPr>
            </w:pPr>
            <w:r w:rsidRPr="00A87410">
              <w:rPr>
                <w:rStyle w:val="SpecialBold"/>
              </w:rPr>
              <w:t>Validate report meets application level requirements</w:t>
            </w:r>
          </w:p>
        </w:tc>
        <w:tc>
          <w:tcPr>
            <w:tcW w:w="770" w:type="dxa"/>
            <w:tcBorders>
              <w:top w:val="nil"/>
              <w:left w:val="nil"/>
              <w:bottom w:val="nil"/>
              <w:right w:val="nil"/>
            </w:tcBorders>
            <w:tcMar>
              <w:top w:w="0" w:type="dxa"/>
              <w:left w:w="62" w:type="dxa"/>
              <w:bottom w:w="0" w:type="dxa"/>
              <w:right w:w="62" w:type="dxa"/>
            </w:tcMar>
          </w:tcPr>
          <w:p w:rsidR="00000000" w:rsidP="00A87410">
            <w:pPr>
              <w:pStyle w:val="BodyText"/>
              <w:rPr>
                <w:lang w:val="en-NZ"/>
              </w:rPr>
            </w:pPr>
            <w:r w:rsidRPr="00A87410">
              <w:t>4.1</w:t>
            </w:r>
          </w:p>
        </w:tc>
        <w:tc>
          <w:tcPr>
            <w:tcW w:w="5610" w:type="dxa"/>
            <w:tcBorders>
              <w:top w:val="nil"/>
              <w:left w:val="nil"/>
              <w:bottom w:val="nil"/>
              <w:right w:val="nil"/>
            </w:tcBorders>
            <w:tcMar>
              <w:top w:w="0" w:type="dxa"/>
              <w:left w:w="62" w:type="dxa"/>
              <w:bottom w:w="0" w:type="dxa"/>
              <w:right w:w="62" w:type="dxa"/>
            </w:tcMar>
          </w:tcPr>
          <w:p w:rsidR="00000000" w:rsidP="00A87410">
            <w:pPr>
              <w:pStyle w:val="BodyText"/>
              <w:rPr>
                <w:lang w:val="en-NZ"/>
              </w:rPr>
            </w:pPr>
            <w:r w:rsidRPr="00A87410">
              <w:t>Compile GRI report.</w:t>
            </w:r>
          </w:p>
        </w:tc>
      </w:tr>
      <w:tr w:rsidTr="00A8741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87410">
            <w:pPr>
              <w:pStyle w:val="BodyText"/>
              <w:rPr>
                <w:lang w:val="en-NZ"/>
              </w:rPr>
            </w:pPr>
            <w:r w:rsidRPr="00A87410">
              <w:t>4.2</w:t>
            </w:r>
          </w:p>
        </w:tc>
        <w:tc>
          <w:tcPr>
            <w:tcW w:w="5610" w:type="dxa"/>
            <w:tcBorders>
              <w:top w:val="nil"/>
              <w:left w:val="nil"/>
              <w:bottom w:val="nil"/>
              <w:right w:val="nil"/>
            </w:tcBorders>
            <w:tcMar>
              <w:top w:w="0" w:type="dxa"/>
              <w:left w:w="62" w:type="dxa"/>
              <w:bottom w:w="0" w:type="dxa"/>
              <w:right w:w="62" w:type="dxa"/>
            </w:tcMar>
          </w:tcPr>
          <w:p w:rsidR="00000000" w:rsidP="00A87410">
            <w:pPr>
              <w:pStyle w:val="BodyText"/>
              <w:rPr>
                <w:lang w:val="en-NZ"/>
              </w:rPr>
            </w:pPr>
            <w:r w:rsidRPr="00A87410">
              <w:t>Audit report for compliance with requirements.</w:t>
            </w:r>
          </w:p>
        </w:tc>
      </w:tr>
      <w:tr w:rsidTr="00A8741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87410">
            <w:pPr>
              <w:pStyle w:val="BodyText"/>
              <w:rPr>
                <w:lang w:val="en-NZ"/>
              </w:rPr>
            </w:pPr>
            <w:r w:rsidRPr="00A87410">
              <w:t>4.3</w:t>
            </w:r>
          </w:p>
        </w:tc>
        <w:tc>
          <w:tcPr>
            <w:tcW w:w="5610" w:type="dxa"/>
            <w:tcBorders>
              <w:top w:val="nil"/>
              <w:left w:val="nil"/>
              <w:bottom w:val="nil"/>
              <w:right w:val="nil"/>
            </w:tcBorders>
            <w:tcMar>
              <w:top w:w="0" w:type="dxa"/>
              <w:left w:w="62" w:type="dxa"/>
              <w:bottom w:w="0" w:type="dxa"/>
              <w:right w:w="62" w:type="dxa"/>
            </w:tcMar>
          </w:tcPr>
          <w:p w:rsidR="00000000" w:rsidRPr="00A87410" w:rsidP="00A87410">
            <w:pPr>
              <w:pStyle w:val="BodyText"/>
            </w:pPr>
            <w:r w:rsidRPr="00A87410">
              <w:t>Review and adjust report as required.</w:t>
            </w:r>
          </w:p>
        </w:tc>
      </w:tr>
    </w:tbl>
    <w:p w:rsidR="00000000" w:rsidRPr="00A87410" w:rsidP="00A87410">
      <w:pPr>
        <w:pStyle w:val="BodyText"/>
      </w:pPr>
    </w:p>
    <w:p w:rsidR="00000000" w:rsidRPr="00A87410" w:rsidP="00A87410">
      <w:pPr>
        <w:pStyle w:val="AllowPageBreak"/>
      </w:pPr>
    </w:p>
    <w:p w:rsidR="00000000" w:rsidRPr="00A87410" w:rsidP="00A87410">
      <w:pPr>
        <w:pStyle w:val="Heading1"/>
      </w:pPr>
      <w:bookmarkStart w:id="7" w:name="O_923023"/>
      <w:bookmarkEnd w:id="7"/>
      <w:r w:rsidRPr="00A87410">
        <w:t>Foundation Skills</w:t>
      </w:r>
    </w:p>
    <w:p w:rsidR="00000000" w:rsidRPr="00A87410" w:rsidP="002A273A">
      <w:pPr>
        <w:pStyle w:val="BodyText"/>
      </w:pPr>
      <w:r w:rsidRPr="00A87410">
        <w:t>This section describes those required skills (language, literacy and numeracy) that are essential to performance.</w:t>
      </w:r>
    </w:p>
    <w:p w:rsidR="00000000" w:rsidRPr="00A87410" w:rsidP="002A273A">
      <w:pPr>
        <w:pStyle w:val="BodyText"/>
      </w:pPr>
      <w:r w:rsidRPr="00A87410">
        <w:t>Foundation skills essential to performance are explicit in the performance criteria of this unit of competency.</w:t>
      </w:r>
    </w:p>
    <w:p w:rsidR="00000000" w:rsidRPr="00A87410" w:rsidP="00A87410">
      <w:pPr>
        <w:pStyle w:val="Heading1"/>
      </w:pPr>
      <w:bookmarkStart w:id="8" w:name="O_923022"/>
      <w:bookmarkEnd w:id="8"/>
      <w:r w:rsidRPr="00A87410">
        <w:t>Range of Con</w:t>
      </w:r>
      <w:r w:rsidRPr="00A87410">
        <w:t>ditions</w:t>
      </w:r>
    </w:p>
    <w:tbl>
      <w:tblPr>
        <w:tblW w:w="0" w:type="auto"/>
        <w:tblLayout w:type="fixed"/>
        <w:tblCellMar>
          <w:left w:w="62" w:type="dxa"/>
          <w:right w:w="62" w:type="dxa"/>
        </w:tblCellMar>
        <w:tblLook w:val="0000"/>
      </w:tblPr>
      <w:tblGrid>
        <w:gridCol w:w="2213"/>
        <w:gridCol w:w="6859"/>
      </w:tblGrid>
      <w:tr w:rsidTr="00A8741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87410">
            <w:pPr>
              <w:pStyle w:val="BodyText"/>
              <w:rPr>
                <w:lang w:val="en-NZ"/>
              </w:rPr>
            </w:pPr>
            <w:r w:rsidRPr="00A87410">
              <w:t>This field allows for different work environments and conditions that may affect performance. Essential operating conditions that may be present (depending on the work situation, needs of the candidate, accessibility of the item, and local industry</w:t>
            </w:r>
            <w:r w:rsidRPr="00A87410">
              <w:t xml:space="preserve"> and regional contexts) are included.</w:t>
            </w:r>
          </w:p>
        </w:tc>
      </w:tr>
      <w:tr w:rsidTr="00A87410">
        <w:tblPrEx>
          <w:tblW w:w="0" w:type="auto"/>
          <w:tblLayout w:type="fixed"/>
          <w:tblCellMar>
            <w:left w:w="62" w:type="dxa"/>
            <w:right w:w="62" w:type="dxa"/>
          </w:tblCellMar>
          <w:tblLook w:val="0000"/>
        </w:tblPrEx>
        <w:tc>
          <w:tcPr>
            <w:tcW w:w="2213" w:type="dxa"/>
            <w:tcBorders>
              <w:top w:val="nil"/>
              <w:left w:val="nil"/>
              <w:bottom w:val="nil"/>
              <w:right w:val="nil"/>
            </w:tcBorders>
            <w:tcMar>
              <w:top w:w="0" w:type="dxa"/>
              <w:left w:w="62" w:type="dxa"/>
              <w:bottom w:w="0" w:type="dxa"/>
              <w:right w:w="62" w:type="dxa"/>
            </w:tcMar>
          </w:tcPr>
          <w:p w:rsidR="00000000" w:rsidP="00A87410">
            <w:pPr>
              <w:pStyle w:val="BodyText"/>
              <w:rPr>
                <w:lang w:val="en-NZ"/>
              </w:rPr>
            </w:pPr>
            <w:r w:rsidRPr="00A87410">
              <w:rPr>
                <w:rStyle w:val="SpecialBold"/>
              </w:rPr>
              <w:t>GRI sustainability reporting guidelines include one or more of</w:t>
            </w:r>
          </w:p>
        </w:tc>
        <w:tc>
          <w:tcPr>
            <w:tcW w:w="6859" w:type="dxa"/>
            <w:tcBorders>
              <w:top w:val="nil"/>
              <w:left w:val="nil"/>
              <w:bottom w:val="nil"/>
              <w:right w:val="nil"/>
            </w:tcBorders>
            <w:tcMar>
              <w:top w:w="0" w:type="dxa"/>
              <w:left w:w="62" w:type="dxa"/>
              <w:bottom w:w="0" w:type="dxa"/>
              <w:right w:w="62" w:type="dxa"/>
            </w:tcMar>
          </w:tcPr>
          <w:p w:rsidR="00000000" w:rsidRPr="00A87410" w:rsidP="00A87410">
            <w:pPr>
              <w:pStyle w:val="ListBullet"/>
            </w:pPr>
            <w:r w:rsidRPr="00A87410">
              <w:t>content, including materiality, stakeholder inclusiveness, sustainability context and completeness</w:t>
            </w:r>
          </w:p>
          <w:p w:rsidR="00000000" w:rsidRPr="00A87410" w:rsidP="00A87410">
            <w:pPr>
              <w:pStyle w:val="ListBullet"/>
            </w:pPr>
            <w:r w:rsidRPr="00A87410">
              <w:t>report quality, including relia</w:t>
            </w:r>
            <w:r w:rsidRPr="00A87410">
              <w:t>bility, clarity, balance, comparability, accuracy and timelines</w:t>
            </w:r>
          </w:p>
          <w:p w:rsidR="00000000" w:rsidRPr="00A87410" w:rsidP="00A87410">
            <w:pPr>
              <w:pStyle w:val="ListBullet"/>
            </w:pPr>
            <w:r w:rsidRPr="00A87410">
              <w:t>report boundary</w:t>
            </w:r>
          </w:p>
          <w:p w:rsidR="00000000" w:rsidRPr="00A87410" w:rsidP="00A87410">
            <w:pPr>
              <w:pStyle w:val="ListBullet"/>
            </w:pPr>
            <w:r w:rsidRPr="00A87410">
              <w:t>profile disclosures on strategy and analysis, organisation profile, report parameters and governance</w:t>
            </w:r>
          </w:p>
          <w:p w:rsidR="00000000" w:rsidRPr="00A87410" w:rsidP="00A87410">
            <w:pPr>
              <w:pStyle w:val="ListBullet"/>
            </w:pPr>
            <w:r w:rsidRPr="00A87410">
              <w:t>management approach</w:t>
            </w:r>
          </w:p>
          <w:p w:rsidR="00000000" w:rsidRPr="00A87410" w:rsidP="00A87410">
            <w:pPr>
              <w:pStyle w:val="ListBullet"/>
            </w:pPr>
            <w:r w:rsidRPr="00A87410">
              <w:t>performance indicators</w:t>
            </w:r>
          </w:p>
          <w:p w:rsidR="00000000" w:rsidRPr="00A87410" w:rsidP="00A87410">
            <w:pPr>
              <w:pStyle w:val="ListBullet"/>
            </w:pPr>
            <w:r w:rsidRPr="00A87410">
              <w:t>sector requirements listed in GR</w:t>
            </w:r>
            <w:r w:rsidRPr="00A87410">
              <w:t>I sector supplements.</w:t>
            </w:r>
          </w:p>
          <w:p w:rsidR="00000000" w:rsidP="00A87410">
            <w:pPr>
              <w:pStyle w:val="BodyText"/>
              <w:rPr>
                <w:lang w:val="en-NZ"/>
              </w:rPr>
            </w:pPr>
          </w:p>
        </w:tc>
      </w:tr>
      <w:tr w:rsidTr="00A87410">
        <w:tblPrEx>
          <w:tblW w:w="0" w:type="auto"/>
          <w:tblLayout w:type="fixed"/>
          <w:tblCellMar>
            <w:left w:w="62" w:type="dxa"/>
            <w:right w:w="62" w:type="dxa"/>
          </w:tblCellMar>
          <w:tblLook w:val="0000"/>
        </w:tblPrEx>
        <w:tc>
          <w:tcPr>
            <w:tcW w:w="2213" w:type="dxa"/>
            <w:tcBorders>
              <w:top w:val="nil"/>
              <w:left w:val="nil"/>
              <w:bottom w:val="nil"/>
              <w:right w:val="nil"/>
            </w:tcBorders>
            <w:tcMar>
              <w:top w:w="0" w:type="dxa"/>
              <w:left w:w="62" w:type="dxa"/>
              <w:bottom w:w="0" w:type="dxa"/>
              <w:right w:w="62" w:type="dxa"/>
            </w:tcMar>
          </w:tcPr>
          <w:p w:rsidR="00000000" w:rsidP="00A87410">
            <w:pPr>
              <w:pStyle w:val="BodyText"/>
              <w:rPr>
                <w:lang w:val="en-NZ"/>
              </w:rPr>
            </w:pPr>
            <w:r w:rsidRPr="00A87410">
              <w:rPr>
                <w:rStyle w:val="SpecialBold"/>
              </w:rPr>
              <w:t>Data includes one or more of</w:t>
            </w:r>
          </w:p>
        </w:tc>
        <w:tc>
          <w:tcPr>
            <w:tcW w:w="6859" w:type="dxa"/>
            <w:tcBorders>
              <w:top w:val="nil"/>
              <w:left w:val="nil"/>
              <w:bottom w:val="nil"/>
              <w:right w:val="nil"/>
            </w:tcBorders>
            <w:tcMar>
              <w:top w:w="0" w:type="dxa"/>
              <w:left w:w="62" w:type="dxa"/>
              <w:bottom w:w="0" w:type="dxa"/>
              <w:right w:w="62" w:type="dxa"/>
            </w:tcMar>
          </w:tcPr>
          <w:p w:rsidR="00000000" w:rsidRPr="00A87410" w:rsidP="00A87410">
            <w:pPr>
              <w:pStyle w:val="ListBullet"/>
            </w:pPr>
            <w:r w:rsidRPr="00A87410">
              <w:t>information on past and current performance</w:t>
            </w:r>
          </w:p>
          <w:p w:rsidR="00000000" w:rsidRPr="00A87410" w:rsidP="00A87410">
            <w:pPr>
              <w:pStyle w:val="ListBullet"/>
            </w:pPr>
            <w:r w:rsidRPr="00A87410">
              <w:t>performance indicator trends over time</w:t>
            </w:r>
          </w:p>
          <w:p w:rsidR="00000000" w:rsidRPr="00A87410" w:rsidP="00A87410">
            <w:pPr>
              <w:pStyle w:val="ListBullet"/>
            </w:pPr>
            <w:r w:rsidRPr="00A87410">
              <w:t>information from along the value chain, both internal and external to the organisation.</w:t>
            </w:r>
          </w:p>
          <w:p w:rsidR="00000000" w:rsidRPr="00A87410" w:rsidP="00A87410">
            <w:pPr>
              <w:pStyle w:val="BodyText"/>
            </w:pPr>
          </w:p>
        </w:tc>
      </w:tr>
    </w:tbl>
    <w:p w:rsidR="00000000" w:rsidRPr="00A87410" w:rsidP="00A87410">
      <w:pPr>
        <w:pStyle w:val="BodyText"/>
      </w:pPr>
    </w:p>
    <w:p w:rsidR="00000000" w:rsidRPr="00A87410" w:rsidP="00A87410">
      <w:pPr>
        <w:pStyle w:val="AllowPageBreak"/>
      </w:pPr>
    </w:p>
    <w:p w:rsidR="00000000" w:rsidRPr="00A87410" w:rsidP="00A87410">
      <w:pPr>
        <w:pStyle w:val="Heading1"/>
      </w:pPr>
      <w:bookmarkStart w:id="9" w:name="O_923021"/>
      <w:bookmarkEnd w:id="9"/>
      <w:r w:rsidRPr="00A87410">
        <w:t>Unit Mapping Information</w:t>
      </w:r>
    </w:p>
    <w:p w:rsidR="00000000" w:rsidRPr="00A87410" w:rsidP="002A273A">
      <w:pPr>
        <w:pStyle w:val="BodyText"/>
      </w:pPr>
      <w:r w:rsidRPr="00A87410">
        <w:t xml:space="preserve">Release 1. Supersedes and is equivalent to MSS015006A Report to Global Reporting Initiative guidelines. </w:t>
      </w:r>
    </w:p>
    <w:p w:rsidR="00000000" w:rsidRPr="00A87410" w:rsidP="00A87410">
      <w:pPr>
        <w:pStyle w:val="Heading1"/>
      </w:pPr>
      <w:bookmarkStart w:id="10" w:name="O_923014"/>
      <w:bookmarkEnd w:id="10"/>
      <w:r w:rsidRPr="00A87410">
        <w:t>Links</w:t>
      </w:r>
    </w:p>
    <w:p w:rsidR="00000000" w:rsidRPr="00A87410" w:rsidP="002A273A">
      <w:pPr>
        <w:pStyle w:val="BodyText"/>
      </w:pPr>
      <w:r w:rsidRPr="00A87410">
        <w:t xml:space="preserve">Companion Volume implementation guides are found in VETNet - </w:t>
      </w:r>
      <w:r>
        <w:fldChar w:fldCharType="begin"/>
      </w:r>
      <w:r>
        <w:instrText xml:space="preserve"> HYPERLINK "https://vetnet.gov.au/Pages/TrainingDocs.aspx?q=5b04f318-804f-4dc0-9463-c3fb9a3fe998" </w:instrText>
      </w:r>
      <w:r>
        <w:fldChar w:fldCharType="separate"/>
      </w:r>
      <w:r w:rsidRPr="000C3232">
        <w:rPr>
          <w:rStyle w:val="Hyperlink"/>
        </w:rPr>
        <w:t>https://vetnet.gov.au/Pages/TrainingDocs.aspx?q=5b04f318-804f-4dc0-9463-c3fb9a3fe998</w:t>
      </w:r>
      <w:r>
        <w:fldChar w:fldCharType="end"/>
      </w:r>
    </w:p>
    <w:p w:rsidR="00000000" w:rsidRPr="00A87410" w:rsidP="002A273A">
      <w:pPr>
        <w:pStyle w:val="BodyText"/>
        <w:sectPr w:rsidSect="00A87410">
          <w:headerReference w:type="default" r:id="rId10"/>
          <w:footerReference w:type="default" r:id="rId11"/>
          <w:pgSz w:w="11908" w:h="16833"/>
          <w:pgMar w:top="1702" w:right="1418" w:bottom="1702" w:left="1418" w:header="992" w:footer="992" w:gutter="0"/>
          <w:cols w:space="720"/>
          <w:noEndnote/>
          <w:docGrid w:linePitch="299"/>
        </w:sectPr>
      </w:pPr>
    </w:p>
    <w:p w:rsidR="00000000" w:rsidRPr="00A87410" w:rsidP="00A87410">
      <w:pPr>
        <w:pStyle w:val="SuperHeading"/>
      </w:pPr>
      <w:r w:rsidRPr="00A87410">
        <w:t>Assessment Requirements for MSS015006 Report to Global Reportin</w:t>
      </w:r>
      <w:r w:rsidRPr="00A87410">
        <w:t>g Initiative guidelines</w:t>
      </w:r>
    </w:p>
    <w:p w:rsidR="00000000" w:rsidRPr="00A87410" w:rsidP="00A87410">
      <w:pPr>
        <w:pStyle w:val="Heading1"/>
      </w:pPr>
      <w:bookmarkStart w:id="11" w:name="O_923016"/>
      <w:bookmarkEnd w:id="11"/>
      <w:r w:rsidRPr="00A87410">
        <w:t>Modification History</w:t>
      </w:r>
    </w:p>
    <w:p w:rsidR="00000000" w:rsidRPr="00A87410" w:rsidP="002A273A">
      <w:pPr>
        <w:pStyle w:val="BodyText"/>
      </w:pPr>
      <w:r w:rsidRPr="00A87410">
        <w:t xml:space="preserve">Release 1. Supersedes and is equivalent to MSS015006A Report to Global Reporting Initiative guidelines. </w:t>
      </w:r>
    </w:p>
    <w:p w:rsidR="00000000" w:rsidRPr="00A87410" w:rsidP="00A87410">
      <w:pPr>
        <w:pStyle w:val="Heading1"/>
      </w:pPr>
      <w:bookmarkStart w:id="12" w:name="O_923019"/>
      <w:bookmarkEnd w:id="12"/>
      <w:r w:rsidRPr="00A87410">
        <w:t>Performance Evidence</w:t>
      </w:r>
    </w:p>
    <w:p w:rsidR="00000000" w:rsidRPr="00A87410" w:rsidP="002A273A">
      <w:pPr>
        <w:pStyle w:val="BodyText"/>
      </w:pPr>
      <w:r w:rsidRPr="00A87410">
        <w:t>Evidence required to demonstrate competence in this unit must be relevant to and satisfy the requirements of the elements and performance criteria and include the ability, for one or more reports, to:</w:t>
      </w:r>
    </w:p>
    <w:p w:rsidR="00000000" w:rsidRPr="00A87410" w:rsidP="00A87410">
      <w:pPr>
        <w:pStyle w:val="ListBullet"/>
      </w:pPr>
      <w:r w:rsidRPr="00A87410">
        <w:t>demonstrate knowledge of Global Reporting Initiative (</w:t>
      </w:r>
      <w:r w:rsidRPr="00A87410">
        <w:t>GRI) sustainability reporting guidelines also known as the G3 guidelines</w:t>
      </w:r>
    </w:p>
    <w:p w:rsidR="00000000" w:rsidRPr="00A87410" w:rsidP="00A87410">
      <w:pPr>
        <w:pStyle w:val="ListBullet"/>
      </w:pPr>
      <w:r w:rsidRPr="00A87410">
        <w:t>match GRI guidelines to an organisation’s operations</w:t>
      </w:r>
    </w:p>
    <w:p w:rsidR="00000000" w:rsidRPr="00A87410" w:rsidP="00A87410">
      <w:pPr>
        <w:pStyle w:val="ListBullet"/>
      </w:pPr>
      <w:r w:rsidRPr="00A87410">
        <w:t>produce report(s) according to GRI guidelines.</w:t>
      </w:r>
    </w:p>
    <w:p w:rsidR="00000000" w:rsidRPr="00A87410" w:rsidP="00A87410">
      <w:pPr>
        <w:pStyle w:val="AllowPageBreak"/>
      </w:pPr>
    </w:p>
    <w:p w:rsidR="00000000" w:rsidRPr="00A87410" w:rsidP="00A87410">
      <w:pPr>
        <w:pStyle w:val="Heading1"/>
      </w:pPr>
      <w:bookmarkStart w:id="13" w:name="O_923018"/>
      <w:bookmarkEnd w:id="13"/>
      <w:r w:rsidRPr="00A87410">
        <w:t>Knowledge Evidence</w:t>
      </w:r>
    </w:p>
    <w:p w:rsidR="00000000" w:rsidRPr="00A87410" w:rsidP="002A273A">
      <w:pPr>
        <w:pStyle w:val="BodyText"/>
      </w:pPr>
      <w:r w:rsidRPr="00A87410">
        <w:t>Must provide evidence that demonstrates suffici</w:t>
      </w:r>
      <w:r w:rsidRPr="00A87410">
        <w:t>ent knowledge to interact with relevant personnel and be able to draft reports to meet the GRI guidelines including knowledge of:</w:t>
      </w:r>
    </w:p>
    <w:p w:rsidR="00000000" w:rsidRPr="00A87410" w:rsidP="00A87410">
      <w:pPr>
        <w:pStyle w:val="ListBullet"/>
      </w:pPr>
      <w:r w:rsidRPr="00A87410">
        <w:t xml:space="preserve">GRI guidelines </w:t>
      </w:r>
    </w:p>
    <w:p w:rsidR="00000000" w:rsidRPr="00A87410" w:rsidP="00A87410">
      <w:pPr>
        <w:pStyle w:val="ListBullet"/>
      </w:pPr>
      <w:r w:rsidRPr="00A87410">
        <w:t>related regulatory and other compliance reporting requirements</w:t>
      </w:r>
    </w:p>
    <w:p w:rsidR="00000000" w:rsidRPr="00A87410" w:rsidP="00A87410">
      <w:pPr>
        <w:pStyle w:val="ListBullet"/>
      </w:pPr>
      <w:r w:rsidRPr="00A87410">
        <w:t>related commercial reporting requirements</w:t>
      </w:r>
    </w:p>
    <w:p w:rsidR="00000000" w:rsidRPr="00A87410" w:rsidP="00A87410">
      <w:pPr>
        <w:pStyle w:val="ListBullet"/>
      </w:pPr>
      <w:r w:rsidRPr="00A87410">
        <w:t>possible organisational benefits from GRI reporting</w:t>
      </w:r>
    </w:p>
    <w:p w:rsidR="00000000" w:rsidRPr="00A87410" w:rsidP="00A87410">
      <w:pPr>
        <w:pStyle w:val="ListBullet"/>
      </w:pPr>
      <w:r w:rsidRPr="00A87410">
        <w:t>internal and external data sources</w:t>
      </w:r>
    </w:p>
    <w:p w:rsidR="00000000" w:rsidRPr="00A87410" w:rsidP="00A87410">
      <w:pPr>
        <w:pStyle w:val="ListBullet"/>
      </w:pPr>
      <w:r w:rsidRPr="00A87410">
        <w:t>organisational protocols and procedures for obtaining and using data</w:t>
      </w:r>
    </w:p>
    <w:p w:rsidR="00000000" w:rsidRPr="00A87410" w:rsidP="00A87410">
      <w:pPr>
        <w:pStyle w:val="ListBullet"/>
      </w:pPr>
      <w:r w:rsidRPr="00A87410">
        <w:t>data manipulation and interpretation</w:t>
      </w:r>
    </w:p>
    <w:p w:rsidR="00000000" w:rsidRPr="00A87410" w:rsidP="00A87410">
      <w:pPr>
        <w:pStyle w:val="ListBullet"/>
      </w:pPr>
      <w:r w:rsidRPr="00A87410">
        <w:t>project planning and control</w:t>
      </w:r>
    </w:p>
    <w:p w:rsidR="00000000" w:rsidRPr="00A87410" w:rsidP="00A87410">
      <w:pPr>
        <w:pStyle w:val="ListBullet"/>
      </w:pPr>
      <w:r w:rsidRPr="00A87410">
        <w:t>editing and reviewing of report in</w:t>
      </w:r>
      <w:r w:rsidRPr="00A87410">
        <w:t>puts by others.</w:t>
      </w:r>
    </w:p>
    <w:p w:rsidR="00000000" w:rsidRPr="00A87410" w:rsidP="00A87410">
      <w:pPr>
        <w:pStyle w:val="AllowPageBreak"/>
      </w:pPr>
    </w:p>
    <w:p w:rsidR="00000000" w:rsidRPr="00A87410" w:rsidP="00A87410">
      <w:pPr>
        <w:pStyle w:val="Heading1"/>
      </w:pPr>
      <w:bookmarkStart w:id="14" w:name="O_923017"/>
      <w:bookmarkEnd w:id="14"/>
      <w:r w:rsidRPr="00A87410">
        <w:t>Assessment Conditions</w:t>
      </w:r>
    </w:p>
    <w:p w:rsidR="00000000" w:rsidRPr="00A87410" w:rsidP="00A87410">
      <w:pPr>
        <w:pStyle w:val="ListBullet"/>
      </w:pPr>
      <w:r w:rsidRPr="00A87410">
        <w:t xml:space="preserve">The unit should be assessed holistically and the judgement of competence shall be based on a holistic assessment of the evidence. </w:t>
      </w:r>
    </w:p>
    <w:p w:rsidR="00000000" w:rsidRPr="00A87410" w:rsidP="00A87410">
      <w:pPr>
        <w:pStyle w:val="ListBullet"/>
      </w:pPr>
      <w:r w:rsidRPr="00A87410">
        <w:t>The collection of performance evidence is best done from a report and</w:t>
      </w:r>
      <w:r w:rsidRPr="00A87410">
        <w:t>/or folio of evidence drawn from:</w:t>
      </w:r>
    </w:p>
    <w:p w:rsidR="00000000" w:rsidRPr="00A87410" w:rsidP="00A87410">
      <w:pPr>
        <w:pStyle w:val="ListBullet2"/>
      </w:pPr>
      <w:r w:rsidRPr="00A87410">
        <w:t>a single project which provides sufficient evidence of the requirements of all the elements and performance criteria</w:t>
      </w:r>
    </w:p>
    <w:p w:rsidR="00000000" w:rsidRPr="00A87410" w:rsidP="00A87410">
      <w:pPr>
        <w:pStyle w:val="ListBullet2"/>
      </w:pPr>
      <w:r w:rsidRPr="00A87410">
        <w:t>multiple smaller projects which together provide sufficient evidence of the requirements of all the elem</w:t>
      </w:r>
      <w:r w:rsidRPr="00A87410">
        <w:t>ents and performance criteria.</w:t>
      </w:r>
    </w:p>
    <w:p w:rsidR="00000000" w:rsidRPr="00A87410" w:rsidP="00A87410">
      <w:pPr>
        <w:pStyle w:val="ListBullet"/>
      </w:pPr>
      <w:r w:rsidRPr="00A87410">
        <w:t>A third party report, or similar, may be needed to testify to the work done by the individual, particularly when the project has been done as part of a project team.</w:t>
      </w:r>
    </w:p>
    <w:p w:rsidR="00000000" w:rsidRPr="00A87410" w:rsidP="00A87410">
      <w:pPr>
        <w:pStyle w:val="ListBullet"/>
      </w:pPr>
      <w:r w:rsidRPr="00A87410">
        <w:t>Assessment should use a real project where a report is drafted to meet the GRI guidelines for an operational workplace.</w:t>
      </w:r>
    </w:p>
    <w:p w:rsidR="00000000" w:rsidRPr="00A87410" w:rsidP="00A87410">
      <w:pPr>
        <w:pStyle w:val="ListBullet"/>
      </w:pPr>
      <w:r w:rsidRPr="00A87410">
        <w:t xml:space="preserve">Knowledge evidence may be collected concurrently with performance evidence or through an independent process such as workbooks, written </w:t>
      </w:r>
      <w:r w:rsidRPr="00A87410">
        <w:t>assessments or interviews (provided a record is kept).</w:t>
      </w:r>
    </w:p>
    <w:p w:rsidR="00000000" w:rsidRPr="00A87410" w:rsidP="00A87410">
      <w:pPr>
        <w:pStyle w:val="ListBullet"/>
      </w:pPr>
      <w:r w:rsidRPr="00A87410">
        <w:t xml:space="preserve">Assessment processes and techniques must be appropriate to the language, literacy and numeracy </w:t>
      </w:r>
      <w:r w:rsidRPr="00A87410">
        <w:t>requirements of the work being performed and the needs of the candidate.</w:t>
      </w:r>
    </w:p>
    <w:p w:rsidR="00000000" w:rsidRPr="00A87410" w:rsidP="00A87410">
      <w:pPr>
        <w:pStyle w:val="ListBullet"/>
      </w:pPr>
      <w:r w:rsidRPr="00A87410">
        <w:t>Conditions for assessment must in</w:t>
      </w:r>
      <w:r w:rsidRPr="00A87410">
        <w:t>clude access to all tools, equipment, materials and documentation required including relevant workplace procedures, product and manufacturing specifications associated with this unit.</w:t>
      </w:r>
    </w:p>
    <w:p w:rsidR="00000000" w:rsidRPr="00A87410" w:rsidP="00A87410">
      <w:pPr>
        <w:pStyle w:val="ListBullet"/>
      </w:pPr>
      <w:r w:rsidRPr="00A87410">
        <w:t xml:space="preserve">Foundation skills are integral to competent performance of the unit and </w:t>
      </w:r>
      <w:r w:rsidRPr="00A87410">
        <w:t>should not be assessed separately.</w:t>
      </w:r>
    </w:p>
    <w:p w:rsidR="00000000" w:rsidRPr="00A87410" w:rsidP="00A87410">
      <w:pPr>
        <w:pStyle w:val="ListBullet"/>
      </w:pPr>
      <w:r w:rsidRPr="00A87410">
        <w:t xml:space="preserve">Assessors must satisfy the assessor competency requirements that are in place at the time of the assessment as set by the VET regulator.  </w:t>
      </w:r>
    </w:p>
    <w:p w:rsidR="00000000" w:rsidRPr="00A87410" w:rsidP="00A87410">
      <w:pPr>
        <w:pStyle w:val="ListBullet"/>
      </w:pPr>
      <w:r w:rsidRPr="00A87410">
        <w:t>The assessor must demonstrate both technical competency and currency.</w:t>
      </w:r>
    </w:p>
    <w:p w:rsidR="00000000" w:rsidRPr="00A87410" w:rsidP="00A87410">
      <w:pPr>
        <w:pStyle w:val="ListBullet"/>
      </w:pPr>
      <w:r w:rsidRPr="00A87410">
        <w:t>Technical co</w:t>
      </w:r>
      <w:r w:rsidRPr="00A87410">
        <w:t>mpetence can be demonstrated through:</w:t>
      </w:r>
    </w:p>
    <w:p w:rsidR="00000000" w:rsidRPr="00A87410" w:rsidP="00A87410">
      <w:pPr>
        <w:pStyle w:val="ListBullet2"/>
      </w:pPr>
      <w:r w:rsidRPr="00A87410">
        <w:t>relevant VET or other qualification/Statement of Attainment AND/OR</w:t>
      </w:r>
    </w:p>
    <w:p w:rsidR="00000000" w:rsidRPr="00A87410" w:rsidP="00A87410">
      <w:pPr>
        <w:pStyle w:val="ListBullet2"/>
      </w:pPr>
      <w:r w:rsidRPr="00A87410">
        <w:t xml:space="preserve">relevant workplace experience </w:t>
      </w:r>
    </w:p>
    <w:p w:rsidR="00000000" w:rsidRPr="00A87410" w:rsidP="00A87410">
      <w:pPr>
        <w:pStyle w:val="ListBullet"/>
      </w:pPr>
      <w:r w:rsidRPr="00A87410">
        <w:t>Currency can be demonstrated through:</w:t>
      </w:r>
    </w:p>
    <w:p w:rsidR="00000000" w:rsidRPr="00A87410" w:rsidP="00A87410">
      <w:pPr>
        <w:pStyle w:val="ListBullet2"/>
      </w:pPr>
      <w:r w:rsidRPr="00A87410">
        <w:t>performing the competency being assessed as part of current employment OR</w:t>
      </w:r>
    </w:p>
    <w:p w:rsidR="00000000" w:rsidRPr="00A87410" w:rsidP="00A87410">
      <w:pPr>
        <w:pStyle w:val="ListBullet2"/>
      </w:pPr>
      <w:r w:rsidRPr="00A87410">
        <w:t>havin</w:t>
      </w:r>
      <w:r w:rsidRPr="00A87410">
        <w:t>g consulted with an organisation providing relevant environmental monitoring, management or technology services about performing the competency being assessed within the last twelve months.</w:t>
      </w:r>
    </w:p>
    <w:p w:rsidR="00000000" w:rsidRPr="00A87410" w:rsidP="00A87410">
      <w:pPr>
        <w:pStyle w:val="AllowPageBreak"/>
      </w:pPr>
    </w:p>
    <w:p w:rsidR="00000000" w:rsidRPr="00A87410" w:rsidP="00A87410">
      <w:pPr>
        <w:pStyle w:val="Heading1"/>
      </w:pPr>
      <w:bookmarkStart w:id="15" w:name="O_923015"/>
      <w:bookmarkEnd w:id="15"/>
      <w:r w:rsidRPr="00A87410">
        <w:t>Links</w:t>
      </w:r>
    </w:p>
    <w:p w:rsidR="00000000" w:rsidRPr="00A87410" w:rsidP="002A273A">
      <w:pPr>
        <w:pStyle w:val="BodyText"/>
      </w:pPr>
      <w:r w:rsidRPr="00A87410">
        <w:t xml:space="preserve">Companion Volume implementation guides are found in VETNet - </w:t>
      </w:r>
      <w:r>
        <w:fldChar w:fldCharType="begin"/>
      </w:r>
      <w:r>
        <w:instrText xml:space="preserve"> HYPERLINK "https://vetnet.gov.au/Pages/TrainingDocs.aspx?q=5b04f318-804f-4dc0-9463-c3fb9a3fe998" </w:instrText>
      </w:r>
      <w:r>
        <w:fldChar w:fldCharType="separate"/>
      </w:r>
      <w:r w:rsidRPr="000C3232">
        <w:rPr>
          <w:rStyle w:val="Hyperlink"/>
        </w:rPr>
        <w:t>https://vetnet.gov.au/Pages/TrainingDocs.aspx?q=5b04f318-804f-4dc0-9463-c3fb9a3fe998</w:t>
      </w:r>
      <w:r>
        <w:fldChar w:fldCharType="end"/>
      </w:r>
    </w:p>
    <w:p w:rsidR="00000000" w:rsidRPr="00A87410" w:rsidP="00A87410"/>
    <w:sectPr w:rsidSect="00A8741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741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7410" w:rsidRPr="002A273A" w:rsidP="002A273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741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273A" w:rsidP="00A8741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2A273A" w:rsidP="00A8741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2A273A" w:rsidP="00A8741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7410" w:rsidP="00A87410">
    <w:pPr>
      <w:pStyle w:val="Footer"/>
      <w:framePr w:wrap="around"/>
    </w:pPr>
    <w:r>
      <w:fldChar w:fldCharType="begin"/>
    </w:r>
    <w:r>
      <w:instrText xml:space="preserve"> DOCPROPERTY  Subject  \* MERGEFORMAT </w:instrText>
    </w:r>
    <w:r>
      <w:fldChar w:fldCharType="separate"/>
    </w:r>
    <w:r w:rsidR="002A273A">
      <w:t>Approved</w:t>
    </w:r>
    <w:r w:rsidR="002A273A">
      <w:fldChar w:fldCharType="end"/>
    </w:r>
    <w:r>
      <w:tab/>
      <w:t xml:space="preserve">Page </w:t>
    </w:r>
    <w:r>
      <w:fldChar w:fldCharType="begin"/>
    </w:r>
    <w:r>
      <w:instrText xml:space="preserve"> PAGE  \* Arabic  \* MERGEFORMAT </w:instrText>
    </w:r>
    <w:r>
      <w:fldChar w:fldCharType="separate"/>
    </w:r>
    <w:r w:rsidR="002A273A">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A273A">
      <w:rPr>
        <w:noProof/>
      </w:rPr>
      <w:t>5</w:t>
    </w:r>
    <w:r>
      <w:rPr>
        <w:noProof/>
      </w:rPr>
      <w:fldChar w:fldCharType="end"/>
    </w:r>
  </w:p>
  <w:p w:rsidR="00A87410" w:rsidP="00A87410">
    <w:pPr>
      <w:pStyle w:val="Footer"/>
      <w:framePr w:wrap="around"/>
    </w:pPr>
    <w:r>
      <w:t xml:space="preserve">© Commonwealth of Australia, </w:t>
    </w:r>
    <w:r>
      <w:fldChar w:fldCharType="begin"/>
    </w:r>
    <w:r>
      <w:instrText xml:space="preserve"> DATE  \@ "yyyy"  \* MERGEFORMAT </w:instrText>
    </w:r>
    <w:r>
      <w:fldChar w:fldCharType="separate"/>
    </w:r>
    <w:r w:rsidR="002A273A">
      <w:rPr>
        <w:noProof/>
      </w:rPr>
      <w:t>2025</w:t>
    </w:r>
    <w:r>
      <w:fldChar w:fldCharType="end"/>
    </w:r>
    <w:r>
      <w:tab/>
    </w:r>
    <w:r>
      <w:fldChar w:fldCharType="begin"/>
    </w:r>
    <w:r>
      <w:instrText xml:space="preserve"> DOCPROPERTY  Author  \* MERGEFORMAT </w:instrText>
    </w:r>
    <w:r>
      <w:fldChar w:fldCharType="separate"/>
    </w:r>
    <w:r w:rsidR="002A273A">
      <w:t>Manufacturing Industry Skills Alliance</w:t>
    </w:r>
    <w:r w:rsidR="002A273A">
      <w:fldChar w:fldCharType="end"/>
    </w:r>
  </w:p>
  <w:p w:rsidR="00A87410" w:rsidP="00A8741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741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273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87410" w:rsidRPr="002A273A" w:rsidP="002A273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741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273A" w:rsidRPr="002D2AF8" w:rsidP="00A87410">
    <w:pPr>
      <w:pStyle w:val="Header"/>
      <w:framePr w:wrap="around"/>
    </w:pPr>
    <w:r>
      <w:fldChar w:fldCharType="begin"/>
    </w:r>
    <w:r>
      <w:instrText xml:space="preserve"> TITLE   \* MERGEFORMAT </w:instrText>
    </w:r>
    <w:r>
      <w:fldChar w:fldCharType="separate"/>
    </w:r>
    <w:r>
      <w:t>MSS015006 Report to Global Reporting Initiative guidelines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A273A" w:rsidP="00A8741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7410" w:rsidRPr="002D2AF8" w:rsidP="00A87410">
    <w:pPr>
      <w:pStyle w:val="Header"/>
      <w:framePr w:wrap="around"/>
    </w:pPr>
    <w:r>
      <w:fldChar w:fldCharType="begin"/>
    </w:r>
    <w:r>
      <w:instrText xml:space="preserve"> TITLE   \* MERGEFORMAT </w:instrText>
    </w:r>
    <w:r>
      <w:fldChar w:fldCharType="separate"/>
    </w:r>
    <w:r w:rsidR="002A273A">
      <w:t>MSS015006 Report to Global Reporting Initiative guidelines</w:t>
    </w:r>
    <w:r w:rsidR="002A273A">
      <w:fldChar w:fldCharType="end"/>
    </w:r>
    <w:r>
      <w:tab/>
      <w:t xml:space="preserve">Date this document was generated: </w:t>
    </w:r>
    <w:r>
      <w:fldChar w:fldCharType="begin"/>
    </w:r>
    <w:r>
      <w:instrText xml:space="preserve"> CREATEDATE  \@ "d MMMM yyyy"  \* MERGEFORMAT </w:instrText>
    </w:r>
    <w:r>
      <w:fldChar w:fldCharType="separate"/>
    </w:r>
    <w:r w:rsidR="002A273A">
      <w:rPr>
        <w:noProof/>
      </w:rPr>
      <w:t>2 March 2025</w:t>
    </w:r>
    <w:r>
      <w:fldChar w:fldCharType="end"/>
    </w:r>
  </w:p>
  <w:p w:rsidR="00A87410" w:rsidP="00A8741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3383F5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2C8FD9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E4A13C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8741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87410"/>
    <w:pPr>
      <w:spacing w:before="360" w:after="60"/>
      <w:outlineLvl w:val="0"/>
    </w:pPr>
    <w:rPr>
      <w:sz w:val="32"/>
    </w:rPr>
  </w:style>
  <w:style w:type="paragraph" w:styleId="Heading2">
    <w:name w:val="heading 2"/>
    <w:basedOn w:val="HeadingBase"/>
    <w:next w:val="BodyText"/>
    <w:link w:val="Heading2Char"/>
    <w:qFormat/>
    <w:rsid w:val="00A87410"/>
    <w:pPr>
      <w:keepLines/>
      <w:spacing w:before="240" w:after="120"/>
      <w:outlineLvl w:val="1"/>
    </w:pPr>
    <w:rPr>
      <w:sz w:val="28"/>
      <w:szCs w:val="40"/>
    </w:rPr>
  </w:style>
  <w:style w:type="paragraph" w:styleId="Heading3">
    <w:name w:val="heading 3"/>
    <w:basedOn w:val="HeadingBase"/>
    <w:next w:val="BodyText"/>
    <w:link w:val="Heading3Char"/>
    <w:qFormat/>
    <w:rsid w:val="00A87410"/>
    <w:pPr>
      <w:spacing w:before="180" w:after="120"/>
      <w:outlineLvl w:val="2"/>
    </w:pPr>
    <w:rPr>
      <w:spacing w:val="-10"/>
      <w:kern w:val="32"/>
    </w:rPr>
  </w:style>
  <w:style w:type="paragraph" w:styleId="Heading4">
    <w:name w:val="heading 4"/>
    <w:basedOn w:val="HeadingBase"/>
    <w:next w:val="BodyText"/>
    <w:link w:val="Heading4Char"/>
    <w:qFormat/>
    <w:rsid w:val="00A87410"/>
    <w:pPr>
      <w:spacing w:before="160" w:after="120"/>
      <w:outlineLvl w:val="3"/>
    </w:pPr>
    <w:rPr>
      <w:sz w:val="22"/>
    </w:rPr>
  </w:style>
  <w:style w:type="paragraph" w:styleId="Heading5">
    <w:name w:val="heading 5"/>
    <w:basedOn w:val="HeadingBase"/>
    <w:next w:val="Normal"/>
    <w:link w:val="Heading5Char"/>
    <w:qFormat/>
    <w:rsid w:val="00A87410"/>
    <w:pPr>
      <w:spacing w:before="80"/>
      <w:outlineLvl w:val="4"/>
    </w:pPr>
    <w:rPr>
      <w:color w:val="918585"/>
      <w:sz w:val="20"/>
    </w:rPr>
  </w:style>
  <w:style w:type="paragraph" w:styleId="Heading6">
    <w:name w:val="heading 6"/>
    <w:basedOn w:val="HeadingBase"/>
    <w:next w:val="Normal"/>
    <w:link w:val="Heading6Char"/>
    <w:qFormat/>
    <w:rsid w:val="00A87410"/>
    <w:pPr>
      <w:spacing w:before="60"/>
      <w:outlineLvl w:val="5"/>
    </w:pPr>
    <w:rPr>
      <w:color w:val="918585"/>
      <w:sz w:val="20"/>
    </w:rPr>
  </w:style>
  <w:style w:type="paragraph" w:styleId="Heading7">
    <w:name w:val="heading 7"/>
    <w:basedOn w:val="Normal"/>
    <w:next w:val="Normal"/>
    <w:link w:val="Heading7Char"/>
    <w:qFormat/>
    <w:rsid w:val="00A87410"/>
    <w:pPr>
      <w:ind w:left="720"/>
      <w:outlineLvl w:val="6"/>
    </w:pPr>
    <w:rPr>
      <w:i/>
    </w:rPr>
  </w:style>
  <w:style w:type="paragraph" w:styleId="Heading8">
    <w:name w:val="heading 8"/>
    <w:basedOn w:val="Normal"/>
    <w:next w:val="Normal"/>
    <w:link w:val="Heading8Char"/>
    <w:qFormat/>
    <w:rsid w:val="00A87410"/>
    <w:pPr>
      <w:ind w:left="720"/>
      <w:outlineLvl w:val="7"/>
    </w:pPr>
    <w:rPr>
      <w:i/>
    </w:rPr>
  </w:style>
  <w:style w:type="paragraph" w:styleId="Heading9">
    <w:name w:val="heading 9"/>
    <w:basedOn w:val="Normal"/>
    <w:next w:val="Normal"/>
    <w:link w:val="Heading9Char"/>
    <w:qFormat/>
    <w:rsid w:val="00A87410"/>
    <w:pPr>
      <w:ind w:left="720"/>
      <w:outlineLvl w:val="8"/>
    </w:pPr>
    <w:rPr>
      <w:i/>
    </w:rPr>
  </w:style>
  <w:style w:type="character" w:default="1" w:styleId="DefaultParagraphFont">
    <w:name w:val="Default Paragraph Font"/>
    <w:uiPriority w:val="1"/>
    <w:unhideWhenUsed/>
    <w:rsid w:val="00A8741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87410"/>
  </w:style>
  <w:style w:type="character" w:customStyle="1" w:styleId="Heading1Char">
    <w:name w:val="Heading 1 Char"/>
    <w:basedOn w:val="DefaultParagraphFont"/>
    <w:link w:val="Heading1"/>
    <w:rsid w:val="00A87410"/>
    <w:rPr>
      <w:rFonts w:ascii="Times New Roman" w:eastAsia="Times New Roman" w:hAnsi="Times New Roman" w:cs="Times New Roman"/>
      <w:b/>
      <w:sz w:val="32"/>
      <w:szCs w:val="20"/>
      <w:lang w:eastAsia="en-US"/>
    </w:rPr>
  </w:style>
  <w:style w:type="paragraph" w:styleId="BodyText">
    <w:name w:val="Body Text"/>
    <w:basedOn w:val="Normal"/>
    <w:link w:val="BodyTextChar"/>
    <w:rsid w:val="00A8741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87410"/>
    <w:rPr>
      <w:rFonts w:ascii="Times New Roman" w:eastAsia="Times New Roman" w:hAnsi="Times New Roman" w:cs="Times New Roman"/>
      <w:sz w:val="24"/>
      <w:lang w:eastAsia="en-US"/>
    </w:rPr>
  </w:style>
  <w:style w:type="paragraph" w:styleId="ListBullet">
    <w:name w:val="List Bullet"/>
    <w:basedOn w:val="List"/>
    <w:rsid w:val="00A87410"/>
    <w:pPr>
      <w:numPr>
        <w:numId w:val="12"/>
      </w:numPr>
      <w:tabs>
        <w:tab w:val="clear" w:pos="340"/>
      </w:tabs>
      <w:spacing w:before="40" w:after="40"/>
    </w:pPr>
  </w:style>
  <w:style w:type="character" w:customStyle="1" w:styleId="SpecialBold">
    <w:name w:val="Special Bold"/>
    <w:basedOn w:val="DefaultParagraphFont"/>
    <w:rsid w:val="00A87410"/>
    <w:rPr>
      <w:b/>
      <w:spacing w:val="0"/>
    </w:rPr>
  </w:style>
  <w:style w:type="paragraph" w:styleId="ListBullet2">
    <w:name w:val="List Bullet 2"/>
    <w:basedOn w:val="List2"/>
    <w:rsid w:val="00A87410"/>
    <w:pPr>
      <w:numPr>
        <w:numId w:val="13"/>
      </w:numPr>
      <w:tabs>
        <w:tab w:val="clear" w:pos="680"/>
      </w:tabs>
    </w:pPr>
  </w:style>
  <w:style w:type="paragraph" w:customStyle="1" w:styleId="SuperHeading">
    <w:name w:val="SuperHeading"/>
    <w:basedOn w:val="Normal"/>
    <w:rsid w:val="00A87410"/>
    <w:pPr>
      <w:spacing w:before="240" w:after="120"/>
      <w:outlineLvl w:val="0"/>
    </w:pPr>
    <w:rPr>
      <w:rFonts w:ascii="Times New Roman" w:hAnsi="Times New Roman"/>
      <w:b/>
      <w:sz w:val="32"/>
    </w:rPr>
  </w:style>
  <w:style w:type="paragraph" w:customStyle="1" w:styleId="AllowPageBreak">
    <w:name w:val="AllowPageBreak"/>
    <w:rsid w:val="00A8741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8741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8741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8741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8741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8741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8741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8741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87410"/>
    <w:rPr>
      <w:rFonts w:ascii="Courier New" w:eastAsia="Times New Roman" w:hAnsi="Courier New" w:cs="Times New Roman"/>
      <w:i/>
      <w:szCs w:val="20"/>
      <w:lang w:eastAsia="en-US"/>
    </w:rPr>
  </w:style>
  <w:style w:type="paragraph" w:customStyle="1" w:styleId="HeadingBase">
    <w:name w:val="Heading Base"/>
    <w:rsid w:val="00A8741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87410"/>
    <w:pPr>
      <w:tabs>
        <w:tab w:val="right" w:leader="dot" w:pos="9072"/>
      </w:tabs>
      <w:ind w:left="567"/>
    </w:pPr>
    <w:rPr>
      <w:szCs w:val="22"/>
    </w:rPr>
  </w:style>
  <w:style w:type="paragraph" w:customStyle="1" w:styleId="TOCBase">
    <w:name w:val="TOC Base"/>
    <w:rsid w:val="00A8741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87410"/>
    <w:pPr>
      <w:tabs>
        <w:tab w:val="right" w:leader="dot" w:pos="9072"/>
      </w:tabs>
      <w:spacing w:before="40" w:after="40"/>
      <w:ind w:left="284"/>
    </w:pPr>
    <w:rPr>
      <w:rFonts w:ascii="Times New Roman" w:hAnsi="Times New Roman"/>
    </w:rPr>
  </w:style>
  <w:style w:type="paragraph" w:styleId="TOC1">
    <w:name w:val="toc 1"/>
    <w:basedOn w:val="TOCBase"/>
    <w:next w:val="Normal"/>
    <w:rsid w:val="00A8741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8741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87410"/>
    <w:rPr>
      <w:rFonts w:ascii="Times New Roman" w:eastAsia="Times New Roman" w:hAnsi="Times New Roman" w:cs="Times New Roman"/>
      <w:sz w:val="16"/>
      <w:lang w:eastAsia="en-US"/>
    </w:rPr>
  </w:style>
  <w:style w:type="paragraph" w:styleId="Title">
    <w:name w:val="Title"/>
    <w:basedOn w:val="HeadingBase"/>
    <w:link w:val="TitleChar"/>
    <w:qFormat/>
    <w:rsid w:val="00A87410"/>
    <w:pPr>
      <w:spacing w:before="5040"/>
      <w:jc w:val="center"/>
    </w:pPr>
    <w:rPr>
      <w:sz w:val="48"/>
      <w:szCs w:val="72"/>
      <w:lang w:val="en-US"/>
    </w:rPr>
  </w:style>
  <w:style w:type="character" w:customStyle="1" w:styleId="TitleChar">
    <w:name w:val="Title Char"/>
    <w:basedOn w:val="DefaultParagraphFont"/>
    <w:link w:val="Title"/>
    <w:rsid w:val="00A8741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87410"/>
    <w:pPr>
      <w:tabs>
        <w:tab w:val="left" w:pos="3600"/>
        <w:tab w:val="left" w:pos="3958"/>
      </w:tabs>
    </w:pPr>
  </w:style>
  <w:style w:type="paragraph" w:styleId="List">
    <w:name w:val="List"/>
    <w:basedOn w:val="BodyText"/>
    <w:next w:val="BodyText"/>
    <w:rsid w:val="00A87410"/>
    <w:pPr>
      <w:tabs>
        <w:tab w:val="left" w:pos="340"/>
      </w:tabs>
      <w:spacing w:before="60" w:after="60"/>
      <w:ind w:left="340" w:hanging="340"/>
    </w:pPr>
  </w:style>
  <w:style w:type="paragraph" w:customStyle="1" w:styleId="Note">
    <w:name w:val="Note"/>
    <w:basedOn w:val="BodyText"/>
    <w:rsid w:val="00A8741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87410"/>
    <w:pPr>
      <w:framePr w:wrap="auto" w:hAnchor="text" w:y="6049"/>
    </w:pPr>
    <w:rPr>
      <w:color w:val="000000"/>
      <w:sz w:val="40"/>
    </w:rPr>
  </w:style>
  <w:style w:type="paragraph" w:customStyle="1" w:styleId="TOCTitle">
    <w:name w:val="TOCTitle"/>
    <w:basedOn w:val="Heading1"/>
    <w:rsid w:val="00A87410"/>
    <w:pPr>
      <w:spacing w:after="240"/>
      <w:jc w:val="center"/>
      <w:outlineLvl w:val="9"/>
    </w:pPr>
    <w:rPr>
      <w:caps/>
    </w:rPr>
  </w:style>
  <w:style w:type="paragraph" w:customStyle="1" w:styleId="Version">
    <w:name w:val="Version"/>
    <w:rsid w:val="00A8741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87410"/>
    <w:pPr>
      <w:keepNext w:val="0"/>
      <w:tabs>
        <w:tab w:val="right" w:pos="4176"/>
      </w:tabs>
      <w:ind w:left="198" w:hanging="198"/>
    </w:pPr>
    <w:rPr>
      <w:rFonts w:ascii="Garamond" w:hAnsi="Garamond"/>
    </w:rPr>
  </w:style>
  <w:style w:type="paragraph" w:styleId="IndexHeading">
    <w:name w:val="index heading"/>
    <w:basedOn w:val="Normal"/>
    <w:next w:val="Index1"/>
    <w:semiHidden/>
    <w:rsid w:val="00A87410"/>
    <w:pPr>
      <w:spacing w:before="120" w:after="120"/>
    </w:pPr>
    <w:rPr>
      <w:rFonts w:ascii="Arial" w:hAnsi="Arial"/>
      <w:b/>
      <w:color w:val="918585"/>
      <w:sz w:val="24"/>
    </w:rPr>
  </w:style>
  <w:style w:type="paragraph" w:styleId="Header">
    <w:name w:val="header"/>
    <w:basedOn w:val="Normal"/>
    <w:link w:val="HeaderChar"/>
    <w:rsid w:val="00A8741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87410"/>
    <w:rPr>
      <w:rFonts w:ascii="Times New Roman" w:eastAsia="Times New Roman" w:hAnsi="Times New Roman" w:cs="Times New Roman"/>
      <w:sz w:val="16"/>
      <w:szCs w:val="20"/>
      <w:lang w:val="en-GB" w:eastAsia="en-US"/>
    </w:rPr>
  </w:style>
  <w:style w:type="paragraph" w:customStyle="1" w:styleId="Chapter">
    <w:name w:val="Chapter"/>
    <w:basedOn w:val="Normal"/>
    <w:rsid w:val="00A87410"/>
    <w:pPr>
      <w:spacing w:before="240"/>
    </w:pPr>
    <w:rPr>
      <w:rFonts w:ascii="Times New Roman" w:hAnsi="Times New Roman"/>
      <w:smallCaps/>
      <w:spacing w:val="80"/>
      <w:sz w:val="28"/>
    </w:rPr>
  </w:style>
  <w:style w:type="paragraph" w:customStyle="1" w:styleId="InChapter">
    <w:name w:val="InChapter"/>
    <w:basedOn w:val="Heading3"/>
    <w:rsid w:val="00A87410"/>
    <w:pPr>
      <w:spacing w:after="240"/>
      <w:outlineLvl w:val="9"/>
    </w:pPr>
    <w:rPr>
      <w:noProof/>
    </w:rPr>
  </w:style>
  <w:style w:type="paragraph" w:styleId="Index2">
    <w:name w:val="index 2"/>
    <w:basedOn w:val="Normal"/>
    <w:next w:val="Normal"/>
    <w:semiHidden/>
    <w:rsid w:val="00A87410"/>
    <w:pPr>
      <w:tabs>
        <w:tab w:val="right" w:pos="4176"/>
      </w:tabs>
      <w:ind w:left="568" w:hanging="284"/>
    </w:pPr>
    <w:rPr>
      <w:rFonts w:ascii="Garamond" w:hAnsi="Garamond"/>
    </w:rPr>
  </w:style>
  <w:style w:type="paragraph" w:customStyle="1" w:styleId="Byline">
    <w:name w:val="Byline"/>
    <w:rsid w:val="00A8741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87410"/>
    <w:pPr>
      <w:tabs>
        <w:tab w:val="clear" w:pos="3600"/>
        <w:tab w:val="clear" w:pos="3958"/>
      </w:tabs>
      <w:jc w:val="right"/>
    </w:pPr>
  </w:style>
  <w:style w:type="character" w:styleId="Emphasis">
    <w:name w:val="Emphasis"/>
    <w:basedOn w:val="DefaultParagraphFont"/>
    <w:qFormat/>
    <w:rsid w:val="00A87410"/>
    <w:rPr>
      <w:i/>
    </w:rPr>
  </w:style>
  <w:style w:type="paragraph" w:styleId="Caption">
    <w:name w:val="caption"/>
    <w:basedOn w:val="BodyText"/>
    <w:next w:val="Normal"/>
    <w:qFormat/>
    <w:rsid w:val="00A87410"/>
    <w:pPr>
      <w:framePr w:w="2268" w:hSpace="181" w:vSpace="181" w:wrap="around" w:vAnchor="text" w:hAnchor="page" w:x="1135" w:y="285" w:anchorLock="1"/>
    </w:pPr>
    <w:rPr>
      <w:i/>
    </w:rPr>
  </w:style>
  <w:style w:type="paragraph" w:customStyle="1" w:styleId="MiniTOCTitle">
    <w:name w:val="MiniTOCTitle"/>
    <w:basedOn w:val="Heading4"/>
    <w:rsid w:val="00A87410"/>
    <w:pPr>
      <w:spacing w:before="240"/>
      <w:outlineLvl w:val="9"/>
    </w:pPr>
    <w:rPr>
      <w:noProof/>
      <w:sz w:val="24"/>
    </w:rPr>
  </w:style>
  <w:style w:type="paragraph" w:customStyle="1" w:styleId="MiniTOCItem">
    <w:name w:val="MiniTOCItem"/>
    <w:basedOn w:val="ListBullet"/>
    <w:rsid w:val="00A87410"/>
    <w:pPr>
      <w:numPr>
        <w:numId w:val="0"/>
      </w:numPr>
      <w:tabs>
        <w:tab w:val="right" w:leader="dot" w:pos="6521"/>
      </w:tabs>
      <w:spacing w:before="0" w:after="0"/>
    </w:pPr>
  </w:style>
  <w:style w:type="paragraph" w:customStyle="1" w:styleId="TOFTitle">
    <w:name w:val="TOFTitle"/>
    <w:basedOn w:val="TOCTitle"/>
    <w:rsid w:val="00A87410"/>
  </w:style>
  <w:style w:type="paragraph" w:styleId="TableofFigures">
    <w:name w:val="table of figures"/>
    <w:basedOn w:val="Normal"/>
    <w:next w:val="Normal"/>
    <w:semiHidden/>
    <w:rsid w:val="00A87410"/>
    <w:pPr>
      <w:tabs>
        <w:tab w:val="right" w:leader="dot" w:pos="9072"/>
      </w:tabs>
      <w:ind w:left="970" w:hanging="403"/>
    </w:pPr>
    <w:rPr>
      <w:rFonts w:ascii="Times New Roman" w:hAnsi="Times New Roman"/>
      <w:b/>
    </w:rPr>
  </w:style>
  <w:style w:type="paragraph" w:styleId="ListNumber">
    <w:name w:val="List Number"/>
    <w:basedOn w:val="List"/>
    <w:rsid w:val="00A87410"/>
    <w:pPr>
      <w:numPr>
        <w:numId w:val="15"/>
      </w:numPr>
      <w:tabs>
        <w:tab w:val="clear" w:pos="340"/>
      </w:tabs>
    </w:pPr>
  </w:style>
  <w:style w:type="character" w:customStyle="1" w:styleId="WingdingSymbols">
    <w:name w:val="Wingding Symbols"/>
    <w:rsid w:val="00A87410"/>
    <w:rPr>
      <w:rFonts w:ascii="Wingdings" w:hAnsi="Wingdings"/>
    </w:rPr>
  </w:style>
  <w:style w:type="paragraph" w:customStyle="1" w:styleId="TableHeading">
    <w:name w:val="Table Heading"/>
    <w:basedOn w:val="HeadingBase"/>
    <w:rsid w:val="00A87410"/>
    <w:pPr>
      <w:keepLines/>
      <w:pBdr>
        <w:bottom w:val="single" w:sz="6" w:space="1" w:color="918585"/>
      </w:pBdr>
      <w:spacing w:before="240"/>
    </w:pPr>
  </w:style>
  <w:style w:type="character" w:customStyle="1" w:styleId="HotSpot">
    <w:name w:val="HotSpot"/>
    <w:rsid w:val="00A87410"/>
    <w:rPr>
      <w:color w:val="0033CC"/>
      <w:u w:val="none"/>
    </w:rPr>
  </w:style>
  <w:style w:type="paragraph" w:customStyle="1" w:styleId="BodyTextRight">
    <w:name w:val="Body Text Right"/>
    <w:basedOn w:val="BodyText"/>
    <w:rsid w:val="00A87410"/>
    <w:pPr>
      <w:spacing w:before="0" w:after="0"/>
      <w:jc w:val="right"/>
    </w:pPr>
  </w:style>
  <w:style w:type="paragraph" w:styleId="Index3">
    <w:name w:val="index 3"/>
    <w:basedOn w:val="ListNumber2"/>
    <w:next w:val="Normal"/>
    <w:semiHidden/>
    <w:rsid w:val="00A87410"/>
    <w:pPr>
      <w:numPr>
        <w:numId w:val="0"/>
      </w:numPr>
      <w:tabs>
        <w:tab w:val="right" w:leader="dot" w:pos="4176"/>
      </w:tabs>
    </w:pPr>
  </w:style>
  <w:style w:type="paragraph" w:styleId="ListNumber2">
    <w:name w:val="List Number 2"/>
    <w:basedOn w:val="List2"/>
    <w:rsid w:val="00A87410"/>
    <w:pPr>
      <w:numPr>
        <w:numId w:val="10"/>
      </w:numPr>
      <w:tabs>
        <w:tab w:val="clear" w:pos="1060"/>
      </w:tabs>
    </w:pPr>
  </w:style>
  <w:style w:type="paragraph" w:customStyle="1" w:styleId="MarginNote">
    <w:name w:val="Margin Note"/>
    <w:basedOn w:val="BodyText"/>
    <w:rsid w:val="00A8741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8741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8741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87410"/>
    <w:rPr>
      <w:sz w:val="32"/>
    </w:rPr>
  </w:style>
  <w:style w:type="paragraph" w:customStyle="1" w:styleId="HeadingProcedure">
    <w:name w:val="Heading Procedure"/>
    <w:basedOn w:val="HeadingBase"/>
    <w:next w:val="Normal"/>
    <w:rsid w:val="00A87410"/>
    <w:pPr>
      <w:tabs>
        <w:tab w:val="left" w:pos="0"/>
      </w:tabs>
      <w:spacing w:before="120" w:after="60"/>
    </w:pPr>
    <w:rPr>
      <w:i/>
      <w:color w:val="918585"/>
      <w:sz w:val="22"/>
    </w:rPr>
  </w:style>
  <w:style w:type="paragraph" w:customStyle="1" w:styleId="TableBodyText">
    <w:name w:val="Table Body Text"/>
    <w:basedOn w:val="BodyText"/>
    <w:rsid w:val="00A87410"/>
    <w:pPr>
      <w:spacing w:before="60" w:after="60"/>
    </w:pPr>
  </w:style>
  <w:style w:type="paragraph" w:styleId="ListContinue">
    <w:name w:val="List Continue"/>
    <w:basedOn w:val="List"/>
    <w:rsid w:val="00A87410"/>
    <w:pPr>
      <w:ind w:firstLine="0"/>
    </w:pPr>
  </w:style>
  <w:style w:type="paragraph" w:customStyle="1" w:styleId="ListNote">
    <w:name w:val="List Note"/>
    <w:basedOn w:val="List"/>
    <w:rsid w:val="00A87410"/>
    <w:pPr>
      <w:pBdr>
        <w:top w:val="single" w:sz="6" w:space="2" w:color="918585"/>
        <w:bottom w:val="single" w:sz="6" w:space="2" w:color="918585"/>
      </w:pBdr>
      <w:tabs>
        <w:tab w:val="left" w:pos="1021"/>
      </w:tabs>
      <w:ind w:firstLine="0"/>
    </w:pPr>
  </w:style>
  <w:style w:type="paragraph" w:customStyle="1" w:styleId="Warning">
    <w:name w:val="Warning"/>
    <w:basedOn w:val="BodyText"/>
    <w:rsid w:val="00A87410"/>
    <w:pPr>
      <w:shd w:val="clear" w:color="auto" w:fill="D9D9D9"/>
      <w:tabs>
        <w:tab w:val="left" w:pos="992"/>
      </w:tabs>
      <w:ind w:left="119" w:right="119"/>
    </w:pPr>
    <w:rPr>
      <w:sz w:val="20"/>
    </w:rPr>
  </w:style>
  <w:style w:type="paragraph" w:customStyle="1" w:styleId="MarginIcons">
    <w:name w:val="Margin Icons"/>
    <w:basedOn w:val="BodyText"/>
    <w:rsid w:val="00A8741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87410"/>
    <w:rPr>
      <w:rFonts w:ascii="Courier New" w:hAnsi="Courier New"/>
    </w:rPr>
  </w:style>
  <w:style w:type="paragraph" w:customStyle="1" w:styleId="NoteBullet">
    <w:name w:val="Note Bullet"/>
    <w:basedOn w:val="Note"/>
    <w:rsid w:val="00A87410"/>
    <w:pPr>
      <w:tabs>
        <w:tab w:val="clear" w:pos="680"/>
      </w:tabs>
      <w:spacing w:before="60" w:after="60"/>
    </w:pPr>
  </w:style>
  <w:style w:type="paragraph" w:customStyle="1" w:styleId="SubHeading2">
    <w:name w:val="SubHeading2"/>
    <w:basedOn w:val="HeadingBase"/>
    <w:rsid w:val="00A87410"/>
    <w:pPr>
      <w:spacing w:before="240" w:after="60"/>
    </w:pPr>
    <w:rPr>
      <w:sz w:val="20"/>
    </w:rPr>
  </w:style>
  <w:style w:type="paragraph" w:customStyle="1" w:styleId="SubHeading1">
    <w:name w:val="SubHeading1"/>
    <w:basedOn w:val="HeadingBase"/>
    <w:rsid w:val="00A87410"/>
    <w:pPr>
      <w:spacing w:before="240" w:after="60"/>
    </w:pPr>
    <w:rPr>
      <w:color w:val="918585"/>
      <w:sz w:val="22"/>
    </w:rPr>
  </w:style>
  <w:style w:type="paragraph" w:customStyle="1" w:styleId="SideHeading">
    <w:name w:val="Side Heading"/>
    <w:basedOn w:val="HeadingBase"/>
    <w:rsid w:val="00A8741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87410"/>
    <w:pPr>
      <w:tabs>
        <w:tab w:val="num" w:pos="360"/>
      </w:tabs>
    </w:pPr>
  </w:style>
  <w:style w:type="paragraph" w:styleId="PlainText">
    <w:name w:val="Plain Text"/>
    <w:basedOn w:val="Normal"/>
    <w:link w:val="PlainTextChar"/>
    <w:rsid w:val="00A87410"/>
    <w:rPr>
      <w:sz w:val="20"/>
    </w:rPr>
  </w:style>
  <w:style w:type="character" w:customStyle="1" w:styleId="PlainTextChar">
    <w:name w:val="Plain Text Char"/>
    <w:basedOn w:val="DefaultParagraphFont"/>
    <w:link w:val="PlainText"/>
    <w:rsid w:val="00A87410"/>
    <w:rPr>
      <w:rFonts w:ascii="Courier New" w:eastAsia="Times New Roman" w:hAnsi="Courier New" w:cs="Times New Roman"/>
      <w:sz w:val="20"/>
      <w:szCs w:val="20"/>
      <w:lang w:eastAsia="en-US"/>
    </w:rPr>
  </w:style>
  <w:style w:type="character" w:customStyle="1" w:styleId="MenuOption">
    <w:name w:val="Menu Option"/>
    <w:basedOn w:val="DefaultParagraphFont"/>
    <w:rsid w:val="00A87410"/>
    <w:rPr>
      <w:b/>
      <w:smallCaps/>
    </w:rPr>
  </w:style>
  <w:style w:type="paragraph" w:customStyle="1" w:styleId="TableListNumber">
    <w:name w:val="Table List Number"/>
    <w:basedOn w:val="ListNumber"/>
    <w:rsid w:val="00A87410"/>
    <w:pPr>
      <w:numPr>
        <w:numId w:val="0"/>
      </w:numPr>
    </w:pPr>
  </w:style>
  <w:style w:type="paragraph" w:styleId="TOC4">
    <w:name w:val="toc 4"/>
    <w:basedOn w:val="TOCBase"/>
    <w:next w:val="Normal"/>
    <w:semiHidden/>
    <w:rsid w:val="00A87410"/>
    <w:pPr>
      <w:tabs>
        <w:tab w:val="right" w:leader="dot" w:pos="9071"/>
      </w:tabs>
      <w:ind w:left="1701"/>
    </w:pPr>
  </w:style>
  <w:style w:type="paragraph" w:customStyle="1" w:styleId="ListAlpha">
    <w:name w:val="List Alpha"/>
    <w:basedOn w:val="List"/>
    <w:rsid w:val="00A87410"/>
    <w:pPr>
      <w:numPr>
        <w:numId w:val="9"/>
      </w:numPr>
    </w:pPr>
  </w:style>
  <w:style w:type="paragraph" w:customStyle="1" w:styleId="ListAlpha2">
    <w:name w:val="List Alpha 2"/>
    <w:basedOn w:val="List2"/>
    <w:rsid w:val="00A87410"/>
    <w:pPr>
      <w:numPr>
        <w:numId w:val="8"/>
      </w:numPr>
    </w:pPr>
  </w:style>
  <w:style w:type="paragraph" w:styleId="List2">
    <w:name w:val="List 2"/>
    <w:basedOn w:val="BodyText"/>
    <w:rsid w:val="00A87410"/>
    <w:pPr>
      <w:tabs>
        <w:tab w:val="left" w:pos="680"/>
      </w:tabs>
      <w:spacing w:before="60" w:after="60"/>
      <w:ind w:left="680" w:hanging="340"/>
    </w:pPr>
  </w:style>
  <w:style w:type="paragraph" w:styleId="List3">
    <w:name w:val="List 3"/>
    <w:basedOn w:val="BodyText"/>
    <w:rsid w:val="00A87410"/>
    <w:pPr>
      <w:tabs>
        <w:tab w:val="left" w:pos="1021"/>
      </w:tabs>
      <w:spacing w:before="60" w:after="60"/>
      <w:ind w:left="1020" w:hanging="340"/>
    </w:pPr>
  </w:style>
  <w:style w:type="paragraph" w:styleId="List4">
    <w:name w:val="List 4"/>
    <w:basedOn w:val="BodyText"/>
    <w:rsid w:val="00A87410"/>
    <w:pPr>
      <w:tabs>
        <w:tab w:val="left" w:pos="1361"/>
      </w:tabs>
      <w:spacing w:before="60" w:after="60"/>
      <w:ind w:left="1361" w:hanging="340"/>
    </w:pPr>
  </w:style>
  <w:style w:type="paragraph" w:styleId="List5">
    <w:name w:val="List 5"/>
    <w:basedOn w:val="BodyText"/>
    <w:rsid w:val="00A87410"/>
    <w:pPr>
      <w:tabs>
        <w:tab w:val="left" w:pos="1701"/>
      </w:tabs>
      <w:spacing w:before="60" w:after="60"/>
      <w:ind w:left="1701" w:hanging="340"/>
    </w:pPr>
  </w:style>
  <w:style w:type="paragraph" w:styleId="ListBullet3">
    <w:name w:val="List Bullet 3"/>
    <w:basedOn w:val="List3"/>
    <w:rsid w:val="00A87410"/>
    <w:pPr>
      <w:numPr>
        <w:numId w:val="14"/>
      </w:numPr>
      <w:tabs>
        <w:tab w:val="clear" w:pos="1021"/>
      </w:tabs>
      <w:ind w:left="1037" w:hanging="357"/>
    </w:pPr>
  </w:style>
  <w:style w:type="paragraph" w:styleId="ListBullet4">
    <w:name w:val="List Bullet 4"/>
    <w:basedOn w:val="List4"/>
    <w:rsid w:val="00A87410"/>
    <w:pPr>
      <w:numPr>
        <w:numId w:val="3"/>
      </w:numPr>
      <w:tabs>
        <w:tab w:val="clear" w:pos="1361"/>
      </w:tabs>
    </w:pPr>
  </w:style>
  <w:style w:type="paragraph" w:styleId="ListBullet5">
    <w:name w:val="List Bullet 5"/>
    <w:basedOn w:val="List5"/>
    <w:rsid w:val="00A87410"/>
    <w:pPr>
      <w:numPr>
        <w:numId w:val="4"/>
      </w:numPr>
    </w:pPr>
  </w:style>
  <w:style w:type="paragraph" w:styleId="ListContinue2">
    <w:name w:val="List Continue 2"/>
    <w:basedOn w:val="List2"/>
    <w:rsid w:val="00A87410"/>
    <w:pPr>
      <w:ind w:firstLine="0"/>
    </w:pPr>
  </w:style>
  <w:style w:type="paragraph" w:styleId="ListContinue3">
    <w:name w:val="List Continue 3"/>
    <w:basedOn w:val="List3"/>
    <w:rsid w:val="00A87410"/>
    <w:pPr>
      <w:ind w:left="1021" w:firstLine="0"/>
    </w:pPr>
  </w:style>
  <w:style w:type="paragraph" w:styleId="ListContinue4">
    <w:name w:val="List Continue 4"/>
    <w:basedOn w:val="List4"/>
    <w:rsid w:val="00A87410"/>
    <w:pPr>
      <w:ind w:firstLine="0"/>
    </w:pPr>
  </w:style>
  <w:style w:type="paragraph" w:styleId="ListContinue5">
    <w:name w:val="List Continue 5"/>
    <w:basedOn w:val="List5"/>
    <w:rsid w:val="00A87410"/>
    <w:pPr>
      <w:ind w:firstLine="0"/>
    </w:pPr>
  </w:style>
  <w:style w:type="paragraph" w:styleId="ListNumber3">
    <w:name w:val="List Number 3"/>
    <w:basedOn w:val="List3"/>
    <w:rsid w:val="00A87410"/>
    <w:pPr>
      <w:numPr>
        <w:numId w:val="5"/>
      </w:numPr>
    </w:pPr>
  </w:style>
  <w:style w:type="paragraph" w:styleId="ListNumber4">
    <w:name w:val="List Number 4"/>
    <w:basedOn w:val="List4"/>
    <w:rsid w:val="00A87410"/>
    <w:pPr>
      <w:numPr>
        <w:numId w:val="6"/>
      </w:numPr>
    </w:pPr>
  </w:style>
  <w:style w:type="paragraph" w:styleId="ListNumber5">
    <w:name w:val="List Number 5"/>
    <w:basedOn w:val="List5"/>
    <w:rsid w:val="00A87410"/>
    <w:pPr>
      <w:numPr>
        <w:numId w:val="7"/>
      </w:numPr>
    </w:pPr>
  </w:style>
  <w:style w:type="paragraph" w:styleId="BlockText">
    <w:name w:val="Block Text"/>
    <w:basedOn w:val="Normal"/>
    <w:rsid w:val="00A87410"/>
    <w:pPr>
      <w:spacing w:after="120"/>
      <w:ind w:left="1440" w:right="1440"/>
    </w:pPr>
  </w:style>
  <w:style w:type="character" w:customStyle="1" w:styleId="Subscript">
    <w:name w:val="Subscript"/>
    <w:basedOn w:val="DefaultParagraphFont"/>
    <w:rsid w:val="00A87410"/>
    <w:rPr>
      <w:sz w:val="16"/>
      <w:vertAlign w:val="subscript"/>
    </w:rPr>
  </w:style>
  <w:style w:type="character" w:customStyle="1" w:styleId="Superscript">
    <w:name w:val="Superscript"/>
    <w:basedOn w:val="DefaultParagraphFont"/>
    <w:rsid w:val="00A87410"/>
    <w:rPr>
      <w:sz w:val="16"/>
      <w:vertAlign w:val="superscript"/>
    </w:rPr>
  </w:style>
  <w:style w:type="character" w:customStyle="1" w:styleId="Symbols">
    <w:name w:val="Symbols"/>
    <w:basedOn w:val="DefaultParagraphFont"/>
    <w:rsid w:val="00A87410"/>
    <w:rPr>
      <w:rFonts w:ascii="Symbol" w:hAnsi="Symbol"/>
    </w:rPr>
  </w:style>
  <w:style w:type="character" w:customStyle="1" w:styleId="MenuOptions">
    <w:name w:val="Menu Options"/>
    <w:basedOn w:val="DefaultParagraphFont"/>
    <w:rsid w:val="00A87410"/>
    <w:rPr>
      <w:rFonts w:ascii="Arial Narrow" w:hAnsi="Arial Narrow"/>
      <w:smallCaps/>
    </w:rPr>
  </w:style>
  <w:style w:type="character" w:customStyle="1" w:styleId="Buttons">
    <w:name w:val="Buttons"/>
    <w:basedOn w:val="DefaultParagraphFont"/>
    <w:rsid w:val="00A87410"/>
    <w:rPr>
      <w:b/>
    </w:rPr>
  </w:style>
  <w:style w:type="character" w:customStyle="1" w:styleId="Underlined">
    <w:name w:val="Underlined"/>
    <w:basedOn w:val="DefaultParagraphFont"/>
    <w:rsid w:val="00A87410"/>
    <w:rPr>
      <w:u w:val="single"/>
    </w:rPr>
  </w:style>
  <w:style w:type="paragraph" w:customStyle="1" w:styleId="TableBodyTextRight">
    <w:name w:val="Table Body Text Right"/>
    <w:basedOn w:val="TableBodyText"/>
    <w:rsid w:val="00A87410"/>
    <w:pPr>
      <w:widowControl w:val="0"/>
      <w:autoSpaceDE w:val="0"/>
      <w:autoSpaceDN w:val="0"/>
      <w:adjustRightInd w:val="0"/>
      <w:jc w:val="right"/>
    </w:pPr>
    <w:rPr>
      <w:rFonts w:cs="Arial"/>
      <w:szCs w:val="18"/>
    </w:rPr>
  </w:style>
  <w:style w:type="paragraph" w:customStyle="1" w:styleId="CopyrightText">
    <w:name w:val="Copyright Text"/>
    <w:basedOn w:val="BodyText"/>
    <w:rsid w:val="00A87410"/>
    <w:rPr>
      <w:sz w:val="18"/>
    </w:rPr>
  </w:style>
  <w:style w:type="paragraph" w:customStyle="1" w:styleId="BodySmallRight">
    <w:name w:val="Body Small Right"/>
    <w:basedOn w:val="BodyTextRight"/>
    <w:rsid w:val="00A87410"/>
    <w:rPr>
      <w:sz w:val="18"/>
      <w:szCs w:val="18"/>
    </w:rPr>
  </w:style>
  <w:style w:type="paragraph" w:customStyle="1" w:styleId="MarginEdition">
    <w:name w:val="Margin Edition"/>
    <w:basedOn w:val="MarginNote"/>
    <w:rsid w:val="00A87410"/>
    <w:pPr>
      <w:spacing w:before="0" w:after="0"/>
    </w:pPr>
    <w:rPr>
      <w:rFonts w:ascii="Times New Roman" w:hAnsi="Times New Roman"/>
      <w:color w:val="999999"/>
    </w:rPr>
  </w:style>
  <w:style w:type="paragraph" w:customStyle="1" w:styleId="Spacer">
    <w:name w:val="Spacer"/>
    <w:basedOn w:val="Normal"/>
    <w:rsid w:val="00A87410"/>
    <w:rPr>
      <w:sz w:val="2"/>
      <w:szCs w:val="2"/>
    </w:rPr>
  </w:style>
  <w:style w:type="character" w:customStyle="1" w:styleId="Small">
    <w:name w:val="Small"/>
    <w:basedOn w:val="DefaultParagraphFont"/>
    <w:rsid w:val="00A87410"/>
    <w:rPr>
      <w:sz w:val="16"/>
    </w:rPr>
  </w:style>
  <w:style w:type="paragraph" w:customStyle="1" w:styleId="WideTable">
    <w:name w:val="Wide Table"/>
    <w:basedOn w:val="Normal"/>
    <w:rsid w:val="00A87410"/>
    <w:pPr>
      <w:ind w:left="-1418"/>
    </w:pPr>
    <w:rPr>
      <w:sz w:val="2"/>
      <w:szCs w:val="2"/>
    </w:rPr>
  </w:style>
  <w:style w:type="character" w:styleId="PageNumber">
    <w:name w:val="page number"/>
    <w:basedOn w:val="DefaultParagraphFont"/>
    <w:rsid w:val="00A87410"/>
  </w:style>
  <w:style w:type="paragraph" w:styleId="Quote">
    <w:name w:val="Quote"/>
    <w:basedOn w:val="Heading1"/>
    <w:link w:val="QuoteChar"/>
    <w:qFormat/>
    <w:rsid w:val="00A87410"/>
    <w:rPr>
      <w:b w:val="0"/>
      <w:sz w:val="72"/>
      <w:szCs w:val="72"/>
      <w:lang w:val="en-NZ"/>
    </w:rPr>
  </w:style>
  <w:style w:type="character" w:customStyle="1" w:styleId="QuoteChar">
    <w:name w:val="Quote Char"/>
    <w:basedOn w:val="DefaultParagraphFont"/>
    <w:link w:val="Quote"/>
    <w:rsid w:val="00A8741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87410"/>
    <w:pPr>
      <w:pageBreakBefore/>
    </w:pPr>
  </w:style>
  <w:style w:type="paragraph" w:customStyle="1" w:styleId="Border">
    <w:name w:val="Border"/>
    <w:basedOn w:val="Normal"/>
    <w:qFormat/>
    <w:rsid w:val="00A8741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87410"/>
    <w:rPr>
      <w:b/>
      <w:bCs/>
      <w:i/>
      <w:iCs/>
      <w:color w:val="auto"/>
    </w:rPr>
  </w:style>
  <w:style w:type="paragraph" w:styleId="IntenseQuote">
    <w:name w:val="Intense Quote"/>
    <w:basedOn w:val="Normal"/>
    <w:next w:val="Normal"/>
    <w:link w:val="IntenseQuoteChar"/>
    <w:uiPriority w:val="30"/>
    <w:qFormat/>
    <w:rsid w:val="00A8741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8741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87410"/>
    <w:rPr>
      <w:smallCaps/>
      <w:color w:val="auto"/>
      <w:u w:val="single"/>
    </w:rPr>
  </w:style>
  <w:style w:type="character" w:styleId="IntenseReference">
    <w:name w:val="Intense Reference"/>
    <w:basedOn w:val="DefaultParagraphFont"/>
    <w:uiPriority w:val="32"/>
    <w:qFormat/>
    <w:rsid w:val="00A87410"/>
    <w:rPr>
      <w:b/>
      <w:bCs/>
      <w:smallCaps/>
      <w:color w:val="auto"/>
      <w:spacing w:val="5"/>
      <w:u w:val="single"/>
    </w:rPr>
  </w:style>
  <w:style w:type="paragraph" w:customStyle="1" w:styleId="2ColumnHeading">
    <w:name w:val="2Column Heading"/>
    <w:basedOn w:val="BodyText"/>
    <w:qFormat/>
    <w:rsid w:val="00A87410"/>
    <w:pPr>
      <w:spacing w:after="60"/>
      <w:ind w:left="-2268"/>
    </w:pPr>
    <w:rPr>
      <w:b/>
    </w:rPr>
  </w:style>
  <w:style w:type="paragraph" w:customStyle="1" w:styleId="Heading1TOC">
    <w:name w:val="Heading1 TOC"/>
    <w:basedOn w:val="Normal"/>
    <w:qFormat/>
    <w:rsid w:val="00A87410"/>
    <w:pPr>
      <w:spacing w:before="240" w:after="120"/>
    </w:pPr>
    <w:rPr>
      <w:rFonts w:ascii="Times New Roman" w:hAnsi="Times New Roman"/>
      <w:b/>
      <w:sz w:val="32"/>
    </w:rPr>
  </w:style>
  <w:style w:type="paragraph" w:customStyle="1" w:styleId="Heading2TOC">
    <w:name w:val="Heading2 TOC"/>
    <w:basedOn w:val="Normal"/>
    <w:qFormat/>
    <w:rsid w:val="00A87410"/>
    <w:pPr>
      <w:spacing w:before="240" w:after="60"/>
    </w:pPr>
    <w:rPr>
      <w:rFonts w:ascii="Times New Roman" w:hAnsi="Times New Roman"/>
      <w:b/>
      <w:sz w:val="28"/>
    </w:rPr>
  </w:style>
  <w:style w:type="character" w:customStyle="1" w:styleId="Underline">
    <w:name w:val="Underline"/>
    <w:basedOn w:val="DefaultParagraphFont"/>
    <w:qFormat/>
    <w:rsid w:val="00A87410"/>
    <w:rPr>
      <w:u w:val="single"/>
    </w:rPr>
  </w:style>
  <w:style w:type="character" w:customStyle="1" w:styleId="BoldandItalics">
    <w:name w:val="Bold and Italics"/>
    <w:qFormat/>
    <w:rsid w:val="00A87410"/>
    <w:rPr>
      <w:b/>
      <w:i/>
      <w:u w:val="none"/>
    </w:rPr>
  </w:style>
  <w:style w:type="paragraph" w:styleId="BalloonText">
    <w:name w:val="Balloon Text"/>
    <w:basedOn w:val="Normal"/>
    <w:link w:val="BalloonTextChar"/>
    <w:rsid w:val="00A87410"/>
    <w:rPr>
      <w:rFonts w:ascii="Tahoma" w:hAnsi="Tahoma" w:cs="Tahoma"/>
      <w:sz w:val="16"/>
      <w:szCs w:val="16"/>
    </w:rPr>
  </w:style>
  <w:style w:type="character" w:customStyle="1" w:styleId="BalloonTextChar">
    <w:name w:val="Balloon Text Char"/>
    <w:basedOn w:val="DefaultParagraphFont"/>
    <w:link w:val="BalloonText"/>
    <w:rsid w:val="00A8741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8741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8741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87410"/>
    <w:rPr>
      <w:b/>
      <w:color w:val="660033"/>
      <w:spacing w:val="0"/>
    </w:rPr>
  </w:style>
  <w:style w:type="paragraph" w:customStyle="1" w:styleId="Nameditemlist">
    <w:name w:val="Named item list"/>
    <w:basedOn w:val="BodyText"/>
    <w:qFormat/>
    <w:rsid w:val="00A87410"/>
    <w:pPr>
      <w:tabs>
        <w:tab w:val="left" w:pos="2835"/>
      </w:tabs>
      <w:ind w:left="2835" w:hanging="2835"/>
    </w:pPr>
  </w:style>
  <w:style w:type="paragraph" w:customStyle="1" w:styleId="BodyTextnopadding">
    <w:name w:val="Body Text no padding"/>
    <w:basedOn w:val="BodyText"/>
    <w:qFormat/>
    <w:rsid w:val="00A87410"/>
    <w:pPr>
      <w:spacing w:before="0" w:after="0"/>
    </w:pPr>
  </w:style>
  <w:style w:type="paragraph" w:customStyle="1" w:styleId="BodyTextBold">
    <w:name w:val="Body Text Bold"/>
    <w:basedOn w:val="BodyText"/>
    <w:qFormat/>
    <w:rsid w:val="00A87410"/>
    <w:rPr>
      <w:b/>
    </w:rPr>
  </w:style>
  <w:style w:type="character" w:styleId="Hyperlink">
    <w:name w:val="Hyperlink"/>
    <w:basedOn w:val="DefaultParagraphFont"/>
    <w:uiPriority w:val="99"/>
    <w:unhideWhenUsed/>
    <w:rsid w:val="002A273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1168</Words>
  <Characters>7384</Characters>
  <Application>Microsoft Office Word</Application>
  <DocSecurity>0</DocSecurity>
  <Lines>273</Lines>
  <Paragraphs>150</Paragraphs>
  <ScaleCrop>false</ScaleCrop>
  <Company>Author-it Software Corporation Ltd.</Company>
  <LinksUpToDate>false</LinksUpToDate>
  <CharactersWithSpaces>8402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MSS015006 Report to Global Reporting Initiative guidelines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2025-03-02T02:18:00Z</dcterms:created>
  <dcterms:modified xsi:type="dcterms:W3CDTF">2025-03-02T02:18:00Z</dcterms:modified>
</cp:coreProperties>
</file>