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39D" w:rsidP="00E72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MSS014016 Evaluate sustainability impact from a work area or process</w:t>
      </w:r>
      <w:r>
        <w:fldChar w:fldCharType="end"/>
      </w:r>
    </w:p>
    <w:p w:rsidR="00E7239D" w:rsidP="00E7239D">
      <w:pPr>
        <w:pStyle w:val="Version"/>
        <w:sectPr w:rsidSect="00015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E22" w:rsidP="00015E22">
      <w:pPr>
        <w:pStyle w:val="SuperHeading"/>
      </w:pPr>
      <w:r w:rsidRPr="00015E22">
        <w:t>MSS014016 Evaluate sustainability impact from a work area or process</w:t>
      </w:r>
    </w:p>
    <w:p w:rsidR="00000000" w:rsidRPr="00015E22" w:rsidP="00015E22">
      <w:pPr>
        <w:pStyle w:val="Heading1"/>
      </w:pPr>
      <w:bookmarkStart w:id="1" w:name="O_1260493"/>
      <w:bookmarkEnd w:id="1"/>
      <w:r w:rsidRPr="00015E22">
        <w:t>Modification History</w:t>
      </w:r>
    </w:p>
    <w:p w:rsidR="00000000" w:rsidRPr="00015E22" w:rsidP="00E7239D">
      <w:pPr>
        <w:pStyle w:val="BodyText"/>
      </w:pPr>
      <w:r w:rsidRPr="00015E22">
        <w:t>Release 1. Unit code changed. Unit title changed. Application changed. Elements changed. Performance Cri</w:t>
      </w:r>
      <w:r w:rsidRPr="00015E22">
        <w:t xml:space="preserve">teria changed. Foundation Skills populated. Assessment Requirements changed. Supersedes and is not equivalent to MSS014009 Evaluate sustainability impact of a work or process area. </w:t>
      </w:r>
    </w:p>
    <w:p w:rsidR="00000000" w:rsidRPr="00015E22" w:rsidP="00015E22">
      <w:pPr>
        <w:pStyle w:val="Heading1"/>
      </w:pPr>
      <w:bookmarkStart w:id="2" w:name="O_1260495"/>
      <w:bookmarkEnd w:id="2"/>
      <w:r w:rsidRPr="00015E22">
        <w:t>Application</w:t>
      </w:r>
    </w:p>
    <w:p w:rsidR="00000000" w:rsidRPr="00015E22" w:rsidP="00E7239D">
      <w:pPr>
        <w:pStyle w:val="BodyText"/>
      </w:pPr>
      <w:r w:rsidRPr="00015E22">
        <w:t>This unit describes the skills and knowledg</w:t>
      </w:r>
      <w:r w:rsidRPr="00015E22">
        <w:t xml:space="preserve">e required to evaluate the impact on sustainability arising from a defined section of a work area or process and recommend improvements.  </w:t>
      </w:r>
    </w:p>
    <w:p w:rsidR="00000000" w:rsidRPr="00015E22" w:rsidP="00E7239D">
      <w:pPr>
        <w:pStyle w:val="BodyText"/>
      </w:pPr>
      <w:r w:rsidRPr="00015E22">
        <w:t>This unit applies to the evaluation of a section of a value chain that is totally within the boundaries of a selected</w:t>
      </w:r>
      <w:r w:rsidRPr="00015E22">
        <w:t xml:space="preserve"> work area or process in order to identify its broad sustainability impacts and make recommendations for mitigating negative sustainability impacts.</w:t>
      </w:r>
    </w:p>
    <w:p w:rsidR="00000000" w:rsidRPr="00015E22" w:rsidP="00E7239D">
      <w:pPr>
        <w:pStyle w:val="BodyText"/>
      </w:pPr>
      <w:r w:rsidRPr="00015E22">
        <w:t>This unit applies to team leaders, maintenance staff, technicians, managers and others who have some respon</w:t>
      </w:r>
      <w:r w:rsidRPr="00015E22">
        <w:t>sibility for the sustainability outcomes of a team and/or work area. </w:t>
      </w:r>
    </w:p>
    <w:p w:rsidR="00000000" w:rsidRPr="00015E22" w:rsidP="00E7239D">
      <w:pPr>
        <w:pStyle w:val="BodyText"/>
      </w:pPr>
      <w:r w:rsidRPr="00015E22">
        <w:t xml:space="preserve">This unit applies to any organisation. </w:t>
      </w:r>
    </w:p>
    <w:p w:rsidR="00000000" w:rsidRPr="00015E22" w:rsidP="00E7239D">
      <w:pPr>
        <w:pStyle w:val="BodyText"/>
      </w:pPr>
      <w:r w:rsidRPr="00015E22">
        <w:t>No licensing or certification requirements exist at the time of publication. Relevant legislation, industry standards and codes of practice within</w:t>
      </w:r>
      <w:r w:rsidRPr="00015E22">
        <w:t xml:space="preserve"> Australia must be applied.</w:t>
      </w:r>
    </w:p>
    <w:p w:rsidR="00000000" w:rsidRPr="00015E22" w:rsidP="00015E22">
      <w:pPr>
        <w:pStyle w:val="Heading1"/>
      </w:pPr>
      <w:bookmarkStart w:id="3" w:name="O_1260498"/>
      <w:bookmarkEnd w:id="3"/>
      <w:r w:rsidRPr="00015E22">
        <w:t>Competency Field</w:t>
      </w:r>
    </w:p>
    <w:p w:rsidR="00000000" w:rsidRPr="00015E22" w:rsidP="00E7239D">
      <w:pPr>
        <w:pStyle w:val="BodyText"/>
      </w:pPr>
      <w:r w:rsidRPr="00015E22">
        <w:t>Sustainable operations</w:t>
      </w:r>
    </w:p>
    <w:p w:rsidR="00000000" w:rsidRPr="00015E22" w:rsidP="00015E22">
      <w:pPr>
        <w:pStyle w:val="Heading1"/>
      </w:pPr>
      <w:bookmarkStart w:id="4" w:name="O_1260501"/>
      <w:bookmarkEnd w:id="4"/>
      <w:r w:rsidRPr="00015E2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72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22" w:rsidP="00015E22">
            <w:pPr>
              <w:pStyle w:val="BodyText"/>
            </w:pPr>
            <w:r w:rsidRPr="00015E2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rPr>
                <w:rStyle w:val="SpecialBold"/>
              </w:rPr>
              <w:t>Performance Criteria</w:t>
            </w:r>
          </w:p>
        </w:tc>
      </w:tr>
      <w:tr w:rsidTr="00E72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t>Performance criteria describe the performance needed to demonstrate achievement of the element.</w:t>
            </w:r>
          </w:p>
        </w:tc>
      </w:tr>
      <w:tr w:rsidTr="00E72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22" w:rsidP="00015E22">
            <w:pPr>
              <w:pStyle w:val="BodyText"/>
            </w:pPr>
            <w:r w:rsidRPr="00015E22">
              <w:t>1. Define the work area or process to be evaluated</w:t>
            </w:r>
          </w:p>
          <w:p w:rsidR="00000000" w:rsidRPr="00015E22" w:rsidP="00015E2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22" w:rsidP="00015E22">
            <w:pPr>
              <w:pStyle w:val="BodyText"/>
            </w:pPr>
            <w:r w:rsidRPr="00015E22">
              <w:t>1.1 Identify the boundaries of the process or work area to be evaluated</w:t>
            </w:r>
          </w:p>
          <w:p w:rsidR="00000000" w:rsidRPr="00015E22" w:rsidP="00015E22">
            <w:pPr>
              <w:pStyle w:val="BodyText"/>
            </w:pPr>
            <w:r w:rsidRPr="00015E22">
              <w:t>1.2 Identify all process steps wit</w:t>
            </w:r>
            <w:r w:rsidRPr="00015E22">
              <w:t>hin the boundaries</w:t>
            </w:r>
          </w:p>
          <w:p w:rsidR="00000000" w:rsidRPr="00015E22" w:rsidP="00015E22">
            <w:pPr>
              <w:pStyle w:val="BodyText"/>
            </w:pPr>
            <w:r w:rsidRPr="00015E22">
              <w:t>1.3 Identify the change which occurs at each step</w:t>
            </w:r>
          </w:p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t>1.4 Define sustainability interactions at each step</w:t>
            </w:r>
          </w:p>
        </w:tc>
      </w:tr>
      <w:tr w:rsidTr="00E72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7239D" w:rsidP="00015E22">
            <w:pPr>
              <w:pStyle w:val="BodyText"/>
            </w:pPr>
            <w:r w:rsidRPr="00015E22">
              <w:t xml:space="preserve">2. Determine impacts on </w:t>
            </w:r>
            <w:r w:rsidRPr="00015E22">
              <w:t xml:space="preserve">sustainability from the work area or process </w:t>
            </w:r>
          </w:p>
          <w:p w:rsidR="00E7239D" w:rsidP="00015E2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22" w:rsidP="00015E22">
            <w:pPr>
              <w:pStyle w:val="BodyText"/>
            </w:pPr>
            <w:r w:rsidRPr="00015E22">
              <w:t>2.1 Identify organisation’s sustainability goals as they rel</w:t>
            </w:r>
            <w:r w:rsidRPr="00015E22">
              <w:t xml:space="preserve">ate to the </w:t>
            </w:r>
            <w:r w:rsidRPr="00015E22">
              <w:t>process or work area</w:t>
            </w:r>
          </w:p>
          <w:p w:rsidR="00000000" w:rsidRPr="00015E22" w:rsidP="00015E22">
            <w:pPr>
              <w:pStyle w:val="BodyText"/>
            </w:pPr>
            <w:r w:rsidRPr="00015E22">
              <w:t xml:space="preserve">2.2 Identify sustainability sensitivities at each step in the process or work area </w:t>
            </w:r>
          </w:p>
          <w:p w:rsidR="00000000" w:rsidRPr="00015E22" w:rsidP="00015E22">
            <w:pPr>
              <w:pStyle w:val="BodyText"/>
            </w:pPr>
            <w:r w:rsidRPr="00015E22">
              <w:t>2.3 Identify sustainability issues at each step in the process or work area</w:t>
            </w:r>
          </w:p>
          <w:p w:rsidR="00000000" w:rsidRPr="00015E22" w:rsidP="00015E22">
            <w:pPr>
              <w:pStyle w:val="BodyText"/>
            </w:pPr>
            <w:r w:rsidRPr="00015E22">
              <w:t>2.4 Estimate the sustainability impact of sensitivities and issues identified</w:t>
            </w:r>
          </w:p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t xml:space="preserve">2.5 Short-list sustainability issues and/or sensitivities with probable high negative impact </w:t>
            </w:r>
          </w:p>
        </w:tc>
      </w:tr>
      <w:tr w:rsidTr="00E7239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E22">
            <w:pPr>
              <w:pStyle w:val="BodyText"/>
              <w:rPr>
                <w:lang w:val="en-NZ"/>
              </w:rPr>
            </w:pPr>
            <w:r w:rsidRPr="00015E22">
              <w:t xml:space="preserve">3. Recommend changes to reduce negative   sustainability impact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E22" w:rsidP="00015E22">
            <w:pPr>
              <w:pStyle w:val="BodyText"/>
            </w:pPr>
            <w:r w:rsidRPr="00015E22">
              <w:t>3.1 Determine root</w:t>
            </w:r>
            <w:r w:rsidRPr="00015E22">
              <w:t xml:space="preserve"> cause of each short-listed item</w:t>
            </w:r>
          </w:p>
          <w:p w:rsidR="00000000" w:rsidRPr="00015E22" w:rsidP="00015E22">
            <w:pPr>
              <w:pStyle w:val="BodyText"/>
            </w:pPr>
            <w:r w:rsidRPr="00015E22">
              <w:t>3.2 Determine possible solutions to root causes and alternative mitigation strategies</w:t>
            </w:r>
          </w:p>
          <w:p w:rsidR="00000000" w:rsidRPr="00015E22" w:rsidP="00015E22">
            <w:pPr>
              <w:pStyle w:val="BodyText"/>
            </w:pPr>
            <w:r w:rsidRPr="00015E22">
              <w:t>3.3 Estimate resources required for solution and mitigation options</w:t>
            </w:r>
          </w:p>
          <w:p w:rsidR="00000000" w:rsidRPr="00015E22" w:rsidP="00015E22">
            <w:pPr>
              <w:pStyle w:val="BodyText"/>
            </w:pPr>
            <w:r w:rsidRPr="00015E22">
              <w:t>3.4 Rank solution and mitigation options by desirability</w:t>
            </w:r>
          </w:p>
          <w:p w:rsidR="00000000" w:rsidRPr="00015E22" w:rsidP="00015E22">
            <w:pPr>
              <w:pStyle w:val="BodyText"/>
            </w:pPr>
            <w:r w:rsidRPr="00015E22">
              <w:t>3.5 Recommen</w:t>
            </w:r>
            <w:r w:rsidRPr="00015E22">
              <w:t>d preferred options in accordance with organisational procedures and protocols</w:t>
            </w:r>
          </w:p>
        </w:tc>
      </w:tr>
    </w:tbl>
    <w:p w:rsidR="00000000" w:rsidRPr="00015E22" w:rsidP="00015E22">
      <w:pPr>
        <w:pStyle w:val="BodyText"/>
      </w:pPr>
    </w:p>
    <w:p w:rsidR="00000000" w:rsidRPr="00015E22" w:rsidP="00015E22">
      <w:pPr>
        <w:pStyle w:val="AllowPageBreak"/>
      </w:pPr>
    </w:p>
    <w:p w:rsidR="00000000" w:rsidRPr="00015E22" w:rsidP="00015E22">
      <w:pPr>
        <w:pStyle w:val="Heading1"/>
      </w:pPr>
      <w:bookmarkStart w:id="5" w:name="O_1260503"/>
      <w:bookmarkEnd w:id="5"/>
      <w:r w:rsidRPr="00015E22">
        <w:t>Foundation Skills</w:t>
      </w:r>
    </w:p>
    <w:p w:rsidR="00000000" w:rsidRPr="00015E22" w:rsidP="00E7239D">
      <w:pPr>
        <w:pStyle w:val="BodyText"/>
      </w:pPr>
      <w:r w:rsidRPr="00015E22">
        <w:t xml:space="preserve">This section describes those language, literacy, numeracy and employment skills that are essential to performance but not explicit in the </w:t>
      </w:r>
      <w:r w:rsidRPr="00015E22">
        <w:t>performance criteria.</w:t>
      </w:r>
    </w:p>
    <w:p w:rsidR="00000000" w:rsidRPr="00015E22" w:rsidP="00015E22">
      <w:pPr>
        <w:pStyle w:val="ListBullet"/>
      </w:pPr>
      <w:r w:rsidRPr="00015E22">
        <w:t>Reading skills to interpret workplace documentation and information about approaches to sustainability</w:t>
      </w:r>
    </w:p>
    <w:p w:rsidR="00000000" w:rsidRPr="00015E22" w:rsidP="00015E22">
      <w:pPr>
        <w:pStyle w:val="ListBullet"/>
      </w:pPr>
      <w:r w:rsidRPr="00015E22">
        <w:t xml:space="preserve">Writing skills to communicate familiar and unfamiliar workplace information </w:t>
      </w:r>
    </w:p>
    <w:p w:rsidR="00000000" w:rsidRPr="00015E22" w:rsidP="00015E22">
      <w:pPr>
        <w:pStyle w:val="ListBullet"/>
      </w:pPr>
      <w:r w:rsidRPr="00015E22">
        <w:t>Oral communication skills to discuss sustainability issues and sensitivities and possible solutions and mitigation strategies with people at different levels of the organisation</w:t>
      </w:r>
    </w:p>
    <w:p w:rsidR="00000000" w:rsidRPr="00015E22" w:rsidP="00015E22">
      <w:pPr>
        <w:pStyle w:val="ListBullet"/>
      </w:pPr>
      <w:r w:rsidRPr="00015E22">
        <w:t xml:space="preserve">Numeracy skills to perform calculations using time, quantities, fractions and </w:t>
      </w:r>
      <w:r w:rsidRPr="00015E22">
        <w:t>percentages</w:t>
      </w:r>
    </w:p>
    <w:p w:rsidR="00000000" w:rsidRPr="00015E22" w:rsidP="00015E22">
      <w:pPr>
        <w:pStyle w:val="ListBullet"/>
      </w:pPr>
      <w:r w:rsidRPr="00015E22">
        <w:t>Learning skills to identify and interpret information about approaches to sustainability.</w:t>
      </w:r>
    </w:p>
    <w:p w:rsidR="00000000" w:rsidRPr="00015E22" w:rsidP="00E7239D">
      <w:pPr>
        <w:pStyle w:val="BodyText"/>
      </w:pPr>
      <w:r w:rsidRPr="00015E22">
        <w:t>Other foundation skills essential to performance are explicit in the performance criteria of this unit.</w:t>
      </w:r>
    </w:p>
    <w:p w:rsidR="00000000" w:rsidRPr="00015E22" w:rsidP="00015E22">
      <w:pPr>
        <w:pStyle w:val="Heading1"/>
      </w:pPr>
      <w:bookmarkStart w:id="6" w:name="O_1260508"/>
      <w:bookmarkEnd w:id="6"/>
      <w:r w:rsidRPr="00015E22">
        <w:t>Unit Mapping Information</w:t>
      </w:r>
    </w:p>
    <w:p w:rsidR="00000000" w:rsidRPr="00015E22" w:rsidP="00E7239D">
      <w:pPr>
        <w:pStyle w:val="BodyText"/>
      </w:pPr>
      <w:r w:rsidRPr="00015E22">
        <w:t>Releas</w:t>
      </w:r>
      <w:r w:rsidRPr="00015E22">
        <w:t xml:space="preserve">e 1. No equivalent unit. </w:t>
      </w:r>
    </w:p>
    <w:p w:rsidR="00000000" w:rsidRPr="00015E22" w:rsidP="00015E22">
      <w:pPr>
        <w:pStyle w:val="Heading1"/>
      </w:pPr>
      <w:bookmarkStart w:id="7" w:name="O_1260522"/>
      <w:bookmarkEnd w:id="7"/>
      <w:r w:rsidRPr="00015E22">
        <w:t>Links</w:t>
      </w:r>
    </w:p>
    <w:p w:rsidR="00000000" w:rsidRPr="00015E22" w:rsidP="00E7239D">
      <w:pPr>
        <w:pStyle w:val="BodyText"/>
      </w:pPr>
      <w:r w:rsidRPr="00015E22">
        <w:t xml:space="preserve">Companion 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469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15E22" w:rsidP="00E7239D">
      <w:pPr>
        <w:pStyle w:val="BodyText"/>
        <w:sectPr w:rsidSect="00015E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E22" w:rsidP="00015E22">
      <w:pPr>
        <w:pStyle w:val="SuperHeading"/>
      </w:pPr>
      <w:r w:rsidRPr="00015E22">
        <w:t>Assessmen</w:t>
      </w:r>
      <w:r w:rsidRPr="00015E22">
        <w:t>t Requirements for MSS014016 Evaluate sustainability impact from a work area or process</w:t>
      </w:r>
    </w:p>
    <w:p w:rsidR="00000000" w:rsidRPr="00015E22" w:rsidP="00015E22">
      <w:pPr>
        <w:pStyle w:val="Heading1"/>
      </w:pPr>
      <w:bookmarkStart w:id="8" w:name="O_1260515"/>
      <w:bookmarkEnd w:id="8"/>
      <w:r w:rsidRPr="00015E22">
        <w:t>Modification History</w:t>
      </w:r>
    </w:p>
    <w:p w:rsidR="00000000" w:rsidRPr="00015E22" w:rsidP="00E7239D">
      <w:pPr>
        <w:pStyle w:val="BodyText"/>
      </w:pPr>
      <w:r w:rsidRPr="00015E22">
        <w:t>Release 1. Unit code changed. Unit title changed. Application changed. Elements changed. Performance Criteria changed. Foundation</w:t>
      </w:r>
      <w:r w:rsidRPr="00015E22">
        <w:t xml:space="preserve"> Skills populated. Assessment Requirements changed. Supersedes and is not equivalent to MSS014009 Evaluate sustainability impact of a work or process area. </w:t>
      </w:r>
    </w:p>
    <w:p w:rsidR="00000000" w:rsidRPr="00015E22" w:rsidP="00015E22">
      <w:pPr>
        <w:pStyle w:val="Heading1"/>
      </w:pPr>
      <w:bookmarkStart w:id="9" w:name="O_1260518"/>
      <w:bookmarkEnd w:id="9"/>
      <w:r w:rsidRPr="00015E22">
        <w:t>Performance Evidence</w:t>
      </w:r>
    </w:p>
    <w:p w:rsidR="00000000" w:rsidRPr="00015E22" w:rsidP="00E7239D">
      <w:pPr>
        <w:pStyle w:val="BodyText"/>
      </w:pPr>
      <w:r w:rsidRPr="00015E22">
        <w:t>There must be evidence the candidate has completed the tasks outlined in the elements and performance criteria of this unit, and demonstrated the ability to:</w:t>
      </w:r>
    </w:p>
    <w:p w:rsidR="00000000" w:rsidRPr="00015E22" w:rsidP="00015E22">
      <w:pPr>
        <w:pStyle w:val="ListBullet"/>
      </w:pPr>
      <w:r w:rsidRPr="00015E22">
        <w:t>evaluate at least 5 process steps within a work area or process to determine the sustainability i</w:t>
      </w:r>
      <w:r w:rsidRPr="00015E22">
        <w:t xml:space="preserve">mpacts of each step </w:t>
      </w:r>
    </w:p>
    <w:p w:rsidR="00000000" w:rsidRPr="00015E22" w:rsidP="00015E22">
      <w:pPr>
        <w:pStyle w:val="ListBullet"/>
      </w:pPr>
      <w:r w:rsidRPr="00015E22">
        <w:t xml:space="preserve">develop recommendations to solve or mitigate at least 3 sustainability sensitivities and/or issues with probable high negative impact.  </w:t>
      </w:r>
    </w:p>
    <w:p w:rsidR="00000000" w:rsidRPr="00015E22" w:rsidP="00015E22">
      <w:pPr>
        <w:pStyle w:val="AllowPageBreak"/>
      </w:pPr>
    </w:p>
    <w:p w:rsidR="00000000" w:rsidRPr="00015E22" w:rsidP="00015E22">
      <w:pPr>
        <w:pStyle w:val="Heading1"/>
      </w:pPr>
      <w:bookmarkStart w:id="10" w:name="O_1260519"/>
      <w:bookmarkEnd w:id="10"/>
      <w:r w:rsidRPr="00015E22">
        <w:t>Knowledge Evidence</w:t>
      </w:r>
    </w:p>
    <w:p w:rsidR="00000000" w:rsidRPr="00015E22" w:rsidP="00E7239D">
      <w:pPr>
        <w:pStyle w:val="BodyText"/>
      </w:pPr>
      <w:r w:rsidRPr="00015E22">
        <w:t>There must be evidence the candidate has knowledge of:</w:t>
      </w:r>
    </w:p>
    <w:p w:rsidR="00000000" w:rsidRPr="00015E22" w:rsidP="00015E22">
      <w:pPr>
        <w:pStyle w:val="ListBullet"/>
      </w:pPr>
      <w:r w:rsidRPr="00015E22">
        <w:t>sust</w:t>
      </w:r>
      <w:r w:rsidRPr="00015E22">
        <w:t xml:space="preserve">ainability process mapping </w:t>
      </w:r>
    </w:p>
    <w:p w:rsidR="00000000" w:rsidRPr="00015E22" w:rsidP="00015E22">
      <w:pPr>
        <w:pStyle w:val="ListBullet"/>
      </w:pPr>
      <w:r w:rsidRPr="00015E22">
        <w:t>process and changes which occur within the process</w:t>
      </w:r>
    </w:p>
    <w:p w:rsidR="00000000" w:rsidRPr="00015E22" w:rsidP="00015E22">
      <w:pPr>
        <w:pStyle w:val="ListBullet"/>
      </w:pPr>
      <w:r w:rsidRPr="00015E22">
        <w:t>direct and indirect environmental impacts of materials, resources and energy used and emitted (wasted)</w:t>
      </w:r>
    </w:p>
    <w:p w:rsidR="00000000" w:rsidRPr="00015E22" w:rsidP="00015E22">
      <w:pPr>
        <w:pStyle w:val="ListBullet"/>
      </w:pPr>
      <w:r w:rsidRPr="00015E22">
        <w:t>current and emerging approaches to quantifying and evaluating costs, benef</w:t>
      </w:r>
      <w:r w:rsidRPr="00015E22">
        <w:t xml:space="preserve">its, impacts and risks in relation to sustainability including direct, indirect and intangible factors </w:t>
      </w:r>
    </w:p>
    <w:p w:rsidR="00000000" w:rsidRPr="00015E22" w:rsidP="00015E22">
      <w:pPr>
        <w:pStyle w:val="ListBullet"/>
      </w:pPr>
      <w:r w:rsidRPr="00015E22">
        <w:t>current and emerging approaches to sustainability and circularity in the industry</w:t>
      </w:r>
    </w:p>
    <w:p w:rsidR="00000000" w:rsidRPr="00015E22" w:rsidP="00015E22">
      <w:pPr>
        <w:pStyle w:val="ListBullet"/>
      </w:pPr>
      <w:r w:rsidRPr="00015E22">
        <w:t>types of incremental and radical change for sustainability relevant to</w:t>
      </w:r>
      <w:r w:rsidRPr="00015E22">
        <w:t xml:space="preserve"> the work area or process</w:t>
      </w:r>
    </w:p>
    <w:p w:rsidR="00000000" w:rsidRPr="00015E22" w:rsidP="00015E22">
      <w:pPr>
        <w:pStyle w:val="ListBullet"/>
      </w:pPr>
      <w:r w:rsidRPr="00015E22">
        <w:t xml:space="preserve">systems approach to identifying sustainability sensitivities and issues in all areas impacted by the work area or process </w:t>
      </w:r>
    </w:p>
    <w:p w:rsidR="00000000" w:rsidRPr="00015E22" w:rsidP="00015E22">
      <w:pPr>
        <w:pStyle w:val="ListBullet"/>
      </w:pPr>
      <w:r w:rsidRPr="00015E22">
        <w:t>root cause analysis and problem solving</w:t>
      </w:r>
    </w:p>
    <w:p w:rsidR="00000000" w:rsidRPr="00015E22" w:rsidP="00015E22">
      <w:pPr>
        <w:pStyle w:val="ListBullet"/>
      </w:pPr>
      <w:r w:rsidRPr="00015E22">
        <w:t>simple cost-benefit analysis techniques as applied to sustainabilit</w:t>
      </w:r>
      <w:r w:rsidRPr="00015E22">
        <w:t xml:space="preserve">y  </w:t>
      </w:r>
    </w:p>
    <w:p w:rsidR="00000000" w:rsidRPr="00015E22" w:rsidP="00015E22">
      <w:pPr>
        <w:pStyle w:val="ListBullet"/>
      </w:pPr>
      <w:r w:rsidRPr="00015E22">
        <w:t xml:space="preserve">factors that may affect desirability ranking </w:t>
      </w:r>
    </w:p>
    <w:p w:rsidR="00000000" w:rsidRPr="00015E22" w:rsidP="00015E22">
      <w:pPr>
        <w:pStyle w:val="ListBullet"/>
      </w:pPr>
      <w:r w:rsidRPr="00015E22">
        <w:t>sustainability-related regulatory and reporting requirements relevant to the work area or process.</w:t>
      </w:r>
    </w:p>
    <w:p w:rsidR="00000000" w:rsidRPr="00015E22" w:rsidP="00015E22">
      <w:pPr>
        <w:pStyle w:val="AllowPageBreak"/>
      </w:pPr>
    </w:p>
    <w:p w:rsidR="00000000" w:rsidRPr="00015E22" w:rsidP="00015E22">
      <w:pPr>
        <w:pStyle w:val="Heading1"/>
      </w:pPr>
      <w:bookmarkStart w:id="11" w:name="O_1260520"/>
      <w:bookmarkEnd w:id="11"/>
      <w:r w:rsidRPr="00015E22">
        <w:t>Assessment Conditions</w:t>
      </w:r>
    </w:p>
    <w:p w:rsidR="00000000" w:rsidRPr="00015E22" w:rsidP="00E7239D">
      <w:pPr>
        <w:pStyle w:val="BodyText"/>
      </w:pPr>
      <w:r w:rsidRPr="00015E22">
        <w:t>Skills must have been demonstrated in the workplace or in a simula</w:t>
      </w:r>
      <w:r w:rsidRPr="00015E22">
        <w:t>ted environment that reflects workplace conditions and contingencies. The following conditions must be met for this unit:</w:t>
      </w:r>
    </w:p>
    <w:p w:rsidR="00000000" w:rsidRPr="00015E22" w:rsidP="00015E22">
      <w:pPr>
        <w:pStyle w:val="ListBullet"/>
      </w:pPr>
      <w:r w:rsidRPr="00015E22">
        <w:t>use of suitable facilities, equipment and resources</w:t>
      </w:r>
    </w:p>
    <w:p w:rsidR="00000000" w:rsidRPr="00015E22" w:rsidP="00015E22">
      <w:pPr>
        <w:pStyle w:val="ListBullet"/>
      </w:pPr>
      <w:r w:rsidRPr="00015E22">
        <w:t xml:space="preserve">modelling of industry operating conditions. </w:t>
      </w:r>
    </w:p>
    <w:p w:rsidR="00000000" w:rsidRPr="00015E22" w:rsidP="00E7239D">
      <w:pPr>
        <w:pStyle w:val="BodyText"/>
      </w:pPr>
      <w:r w:rsidRPr="00015E22">
        <w:t>Assessors must satisfy the NVR/AQTF mandatory competency requirements for assessors.</w:t>
      </w:r>
    </w:p>
    <w:p w:rsidR="00000000" w:rsidRPr="00015E22" w:rsidP="00015E22">
      <w:pPr>
        <w:pStyle w:val="Heading1"/>
      </w:pPr>
      <w:bookmarkStart w:id="12" w:name="O_1260523"/>
      <w:bookmarkEnd w:id="12"/>
      <w:r w:rsidRPr="00015E22">
        <w:t>Links</w:t>
      </w:r>
    </w:p>
    <w:p w:rsidR="00000000" w:rsidRPr="00015E22" w:rsidP="00E7239D">
      <w:pPr>
        <w:pStyle w:val="BodyText"/>
      </w:pPr>
      <w:r w:rsidRPr="00015E22">
        <w:t xml:space="preserve">Companion 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469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15E22" w:rsidP="00015E22"/>
    <w:sectPr w:rsidSect="00015E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 w:rsidRPr="00E7239D" w:rsidP="00E72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9D" w:rsidP="00015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39D" w:rsidP="00015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239D" w:rsidP="00015E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 w:rsidP="00015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239D">
      <w:t>Approved</w:t>
    </w:r>
    <w:r w:rsidR="00E723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23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239D">
      <w:rPr>
        <w:noProof/>
      </w:rPr>
      <w:t>4</w:t>
    </w:r>
    <w:r>
      <w:rPr>
        <w:noProof/>
      </w:rPr>
      <w:fldChar w:fldCharType="end"/>
    </w:r>
  </w:p>
  <w:p w:rsidR="00015E22" w:rsidP="00015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23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239D">
      <w:t>Manufacturing Industry Skills Alliance</w:t>
    </w:r>
    <w:r w:rsidR="00E7239D">
      <w:fldChar w:fldCharType="end"/>
    </w:r>
  </w:p>
  <w:p w:rsidR="00015E22" w:rsidP="00015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E22" w:rsidRPr="00E7239D" w:rsidP="00E72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9D" w:rsidRPr="002D2AF8" w:rsidP="00015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MSS014016 Evaluate sustainability impact from a work area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239D" w:rsidP="00015E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E22" w:rsidRPr="002D2AF8" w:rsidP="00015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239D">
      <w:t>MSS014016 Evaluate sustainability impact from a work area or process</w:t>
    </w:r>
    <w:r w:rsidR="00E723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239D">
      <w:rPr>
        <w:noProof/>
      </w:rPr>
      <w:t>2 March 2025</w:t>
    </w:r>
    <w:r>
      <w:fldChar w:fldCharType="end"/>
    </w:r>
  </w:p>
  <w:p w:rsidR="00015E22" w:rsidP="00015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88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E85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E22"/>
  </w:style>
  <w:style w:type="character" w:customStyle="1" w:styleId="Heading1Char">
    <w:name w:val="Heading 1 Char"/>
    <w:basedOn w:val="DefaultParagraphFont"/>
    <w:link w:val="Heading1"/>
    <w:rsid w:val="00015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E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E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E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E22"/>
    <w:rPr>
      <w:b/>
      <w:spacing w:val="0"/>
    </w:rPr>
  </w:style>
  <w:style w:type="paragraph" w:customStyle="1" w:styleId="SuperHeading">
    <w:name w:val="SuperHeading"/>
    <w:basedOn w:val="Normal"/>
    <w:rsid w:val="00015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E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E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E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E22"/>
    <w:rPr>
      <w:i/>
    </w:rPr>
  </w:style>
  <w:style w:type="paragraph" w:styleId="Caption">
    <w:name w:val="caption"/>
    <w:basedOn w:val="BodyText"/>
    <w:next w:val="Normal"/>
    <w:qFormat/>
    <w:rsid w:val="00015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E22"/>
  </w:style>
  <w:style w:type="paragraph" w:styleId="TableofFigures">
    <w:name w:val="table of figures"/>
    <w:basedOn w:val="Normal"/>
    <w:next w:val="Normal"/>
    <w:semiHidden/>
    <w:rsid w:val="00015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E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5E22"/>
    <w:rPr>
      <w:rFonts w:ascii="Wingdings" w:hAnsi="Wingdings"/>
    </w:rPr>
  </w:style>
  <w:style w:type="paragraph" w:customStyle="1" w:styleId="TableHeading">
    <w:name w:val="Table Heading"/>
    <w:basedOn w:val="HeadingBase"/>
    <w:rsid w:val="00015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E22"/>
    <w:rPr>
      <w:color w:val="0033CC"/>
      <w:u w:val="none"/>
    </w:rPr>
  </w:style>
  <w:style w:type="paragraph" w:customStyle="1" w:styleId="BodyTextRight">
    <w:name w:val="Body Text Right"/>
    <w:basedOn w:val="BodyText"/>
    <w:rsid w:val="00015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E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E22"/>
    <w:rPr>
      <w:sz w:val="32"/>
    </w:rPr>
  </w:style>
  <w:style w:type="paragraph" w:customStyle="1" w:styleId="HeadingProcedure">
    <w:name w:val="Heading Procedure"/>
    <w:basedOn w:val="HeadingBase"/>
    <w:next w:val="Normal"/>
    <w:rsid w:val="00015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E22"/>
    <w:pPr>
      <w:spacing w:before="60" w:after="60"/>
    </w:pPr>
  </w:style>
  <w:style w:type="paragraph" w:styleId="ListContinue">
    <w:name w:val="List Continue"/>
    <w:basedOn w:val="List"/>
    <w:rsid w:val="00015E22"/>
    <w:pPr>
      <w:ind w:firstLine="0"/>
    </w:pPr>
  </w:style>
  <w:style w:type="paragraph" w:customStyle="1" w:styleId="ListNote">
    <w:name w:val="List Note"/>
    <w:basedOn w:val="List"/>
    <w:rsid w:val="00015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E22"/>
    <w:rPr>
      <w:rFonts w:ascii="Courier New" w:hAnsi="Courier New"/>
    </w:rPr>
  </w:style>
  <w:style w:type="paragraph" w:customStyle="1" w:styleId="NoteBullet">
    <w:name w:val="Note Bullet"/>
    <w:basedOn w:val="Note"/>
    <w:rsid w:val="00015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E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5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E22"/>
    <w:rPr>
      <w:b/>
      <w:smallCaps/>
    </w:rPr>
  </w:style>
  <w:style w:type="paragraph" w:customStyle="1" w:styleId="TableListNumber">
    <w:name w:val="Table List Number"/>
    <w:basedOn w:val="ListNumber"/>
    <w:rsid w:val="00015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E22"/>
    <w:pPr>
      <w:numPr>
        <w:numId w:val="8"/>
      </w:numPr>
    </w:pPr>
  </w:style>
  <w:style w:type="paragraph" w:customStyle="1" w:styleId="ListAlpha2">
    <w:name w:val="List Alpha 2"/>
    <w:basedOn w:val="List2"/>
    <w:rsid w:val="00015E22"/>
    <w:pPr>
      <w:numPr>
        <w:numId w:val="7"/>
      </w:numPr>
    </w:pPr>
  </w:style>
  <w:style w:type="paragraph" w:styleId="List2">
    <w:name w:val="List 2"/>
    <w:basedOn w:val="BodyText"/>
    <w:rsid w:val="00015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E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E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5E22"/>
    <w:pPr>
      <w:numPr>
        <w:numId w:val="3"/>
      </w:numPr>
    </w:pPr>
  </w:style>
  <w:style w:type="paragraph" w:styleId="ListContinue2">
    <w:name w:val="List Continue 2"/>
    <w:basedOn w:val="List2"/>
    <w:rsid w:val="00015E22"/>
    <w:pPr>
      <w:ind w:firstLine="0"/>
    </w:pPr>
  </w:style>
  <w:style w:type="paragraph" w:styleId="ListContinue3">
    <w:name w:val="List Continue 3"/>
    <w:basedOn w:val="List3"/>
    <w:rsid w:val="00015E22"/>
    <w:pPr>
      <w:ind w:left="1021" w:firstLine="0"/>
    </w:pPr>
  </w:style>
  <w:style w:type="paragraph" w:styleId="ListContinue4">
    <w:name w:val="List Continue 4"/>
    <w:basedOn w:val="List4"/>
    <w:rsid w:val="00015E22"/>
    <w:pPr>
      <w:ind w:firstLine="0"/>
    </w:pPr>
  </w:style>
  <w:style w:type="paragraph" w:styleId="ListContinue5">
    <w:name w:val="List Continue 5"/>
    <w:basedOn w:val="List5"/>
    <w:rsid w:val="00015E22"/>
    <w:pPr>
      <w:ind w:firstLine="0"/>
    </w:pPr>
  </w:style>
  <w:style w:type="paragraph" w:styleId="ListNumber3">
    <w:name w:val="List Number 3"/>
    <w:basedOn w:val="List3"/>
    <w:rsid w:val="00015E22"/>
    <w:pPr>
      <w:numPr>
        <w:numId w:val="4"/>
      </w:numPr>
    </w:pPr>
  </w:style>
  <w:style w:type="paragraph" w:styleId="ListNumber4">
    <w:name w:val="List Number 4"/>
    <w:basedOn w:val="List4"/>
    <w:rsid w:val="00015E22"/>
    <w:pPr>
      <w:numPr>
        <w:numId w:val="5"/>
      </w:numPr>
    </w:pPr>
  </w:style>
  <w:style w:type="paragraph" w:styleId="ListNumber5">
    <w:name w:val="List Number 5"/>
    <w:basedOn w:val="List5"/>
    <w:rsid w:val="00015E22"/>
    <w:pPr>
      <w:numPr>
        <w:numId w:val="6"/>
      </w:numPr>
    </w:pPr>
  </w:style>
  <w:style w:type="paragraph" w:styleId="BlockText">
    <w:name w:val="Block Text"/>
    <w:basedOn w:val="Normal"/>
    <w:rsid w:val="00015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E22"/>
    <w:rPr>
      <w:sz w:val="16"/>
      <w:vertAlign w:val="superscript"/>
    </w:rPr>
  </w:style>
  <w:style w:type="character" w:customStyle="1" w:styleId="Symbols">
    <w:name w:val="Symbols"/>
    <w:basedOn w:val="DefaultParagraphFont"/>
    <w:rsid w:val="00015E22"/>
    <w:rPr>
      <w:rFonts w:ascii="Symbol" w:hAnsi="Symbol"/>
    </w:rPr>
  </w:style>
  <w:style w:type="character" w:customStyle="1" w:styleId="MenuOptions">
    <w:name w:val="Menu Options"/>
    <w:basedOn w:val="DefaultParagraphFont"/>
    <w:rsid w:val="00015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E22"/>
    <w:rPr>
      <w:b/>
    </w:rPr>
  </w:style>
  <w:style w:type="character" w:customStyle="1" w:styleId="Underlined">
    <w:name w:val="Underlined"/>
    <w:basedOn w:val="DefaultParagraphFont"/>
    <w:rsid w:val="00015E22"/>
    <w:rPr>
      <w:u w:val="single"/>
    </w:rPr>
  </w:style>
  <w:style w:type="paragraph" w:customStyle="1" w:styleId="TableBodyTextRight">
    <w:name w:val="Table Body Text Right"/>
    <w:basedOn w:val="TableBodyText"/>
    <w:rsid w:val="00015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E22"/>
    <w:rPr>
      <w:sz w:val="18"/>
    </w:rPr>
  </w:style>
  <w:style w:type="paragraph" w:customStyle="1" w:styleId="BodySmallRight">
    <w:name w:val="Body Small Right"/>
    <w:basedOn w:val="BodyTextRight"/>
    <w:rsid w:val="00015E22"/>
    <w:rPr>
      <w:sz w:val="18"/>
      <w:szCs w:val="18"/>
    </w:rPr>
  </w:style>
  <w:style w:type="paragraph" w:customStyle="1" w:styleId="MarginEdition">
    <w:name w:val="Margin Edition"/>
    <w:basedOn w:val="MarginNote"/>
    <w:rsid w:val="00015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E22"/>
    <w:rPr>
      <w:sz w:val="2"/>
      <w:szCs w:val="2"/>
    </w:rPr>
  </w:style>
  <w:style w:type="character" w:customStyle="1" w:styleId="Small">
    <w:name w:val="Small"/>
    <w:basedOn w:val="DefaultParagraphFont"/>
    <w:rsid w:val="00015E22"/>
    <w:rPr>
      <w:sz w:val="16"/>
    </w:rPr>
  </w:style>
  <w:style w:type="paragraph" w:customStyle="1" w:styleId="WideTable">
    <w:name w:val="Wide Table"/>
    <w:basedOn w:val="Normal"/>
    <w:rsid w:val="00015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E22"/>
  </w:style>
  <w:style w:type="paragraph" w:styleId="Quote">
    <w:name w:val="Quote"/>
    <w:basedOn w:val="Heading1"/>
    <w:link w:val="QuoteChar"/>
    <w:qFormat/>
    <w:rsid w:val="00015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E22"/>
    <w:pPr>
      <w:pageBreakBefore/>
    </w:pPr>
  </w:style>
  <w:style w:type="paragraph" w:customStyle="1" w:styleId="Border">
    <w:name w:val="Border"/>
    <w:basedOn w:val="Normal"/>
    <w:qFormat/>
    <w:rsid w:val="00015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E22"/>
    <w:rPr>
      <w:u w:val="single"/>
    </w:rPr>
  </w:style>
  <w:style w:type="character" w:customStyle="1" w:styleId="BoldandItalics">
    <w:name w:val="Bold and Italics"/>
    <w:qFormat/>
    <w:rsid w:val="00015E22"/>
    <w:rPr>
      <w:b/>
      <w:i/>
      <w:u w:val="none"/>
    </w:rPr>
  </w:style>
  <w:style w:type="paragraph" w:styleId="BalloonText">
    <w:name w:val="Balloon Text"/>
    <w:basedOn w:val="Normal"/>
    <w:link w:val="BalloonTextChar"/>
    <w:rsid w:val="00015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E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E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E22"/>
    <w:pPr>
      <w:spacing w:before="0" w:after="0"/>
    </w:pPr>
  </w:style>
  <w:style w:type="paragraph" w:customStyle="1" w:styleId="BodyTextBold">
    <w:name w:val="Body Text Bold"/>
    <w:basedOn w:val="BodyText"/>
    <w:qFormat/>
    <w:rsid w:val="00015E22"/>
    <w:rPr>
      <w:b/>
    </w:rPr>
  </w:style>
  <w:style w:type="character" w:styleId="Hyperlink">
    <w:name w:val="Hyperlink"/>
    <w:basedOn w:val="DefaultParagraphFont"/>
    <w:uiPriority w:val="99"/>
    <w:unhideWhenUsed/>
    <w:rsid w:val="00E72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5566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6348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MSS014016 Evaluate sustainability impact from a work area or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