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4A9" w:rsidP="00492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MSMWJ305 Operate a drain cleaning system</w:t>
      </w:r>
      <w:r>
        <w:fldChar w:fldCharType="end"/>
      </w:r>
    </w:p>
    <w:p w:rsidR="004924A9" w:rsidP="004924A9">
      <w:pPr>
        <w:pStyle w:val="Version"/>
        <w:sectPr w:rsidSect="00115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FDA" w:rsidP="00115FDA">
      <w:pPr>
        <w:pStyle w:val="SuperHeading"/>
      </w:pPr>
      <w:r w:rsidRPr="00115FDA">
        <w:t>Assessment Requirements for MSMWJ305 Operate a drain cleaning system</w:t>
      </w:r>
    </w:p>
    <w:p w:rsidR="00000000" w:rsidRPr="00115FDA" w:rsidP="00115FDA">
      <w:pPr>
        <w:pStyle w:val="Heading1"/>
      </w:pPr>
      <w:bookmarkStart w:id="1" w:name="O_1202764"/>
      <w:bookmarkEnd w:id="1"/>
      <w:r w:rsidRPr="00115FDA">
        <w:t>Modification History</w:t>
      </w:r>
    </w:p>
    <w:p w:rsidR="00000000" w:rsidRPr="00115FDA" w:rsidP="004924A9">
      <w:pPr>
        <w:pStyle w:val="BodyText"/>
      </w:pPr>
      <w:r w:rsidRPr="00115FDA">
        <w:t>Release 1. Supersedes and is not equivalent to MSMWJ</w:t>
      </w:r>
      <w:r w:rsidRPr="00115FDA">
        <w:t>302 Operate a drain cleaning system. Unit code changed. Application amended. Elements and Performance Criteria changed. Range of Conditions removed. Assessment Requirements changed.</w:t>
      </w:r>
    </w:p>
    <w:p w:rsidR="00000000" w:rsidRPr="00115FDA" w:rsidP="00115FDA">
      <w:pPr>
        <w:pStyle w:val="Heading1"/>
      </w:pPr>
      <w:bookmarkStart w:id="2" w:name="O_1202765"/>
      <w:bookmarkEnd w:id="2"/>
      <w:r w:rsidRPr="00115FDA">
        <w:t>Performance Evidence</w:t>
      </w:r>
    </w:p>
    <w:p w:rsidR="00000000" w:rsidRPr="00115FDA" w:rsidP="004924A9">
      <w:pPr>
        <w:pStyle w:val="BodyText"/>
      </w:pPr>
      <w:r w:rsidRPr="00115FDA">
        <w:t>There must be evidence the candida</w:t>
      </w:r>
      <w:r w:rsidRPr="00115FDA">
        <w:t>te has completed the tasks outlined in the elements and performance criteria of this unit, and demonstrated the ability to:</w:t>
      </w:r>
    </w:p>
    <w:p w:rsidR="00000000" w:rsidRPr="00115FDA" w:rsidP="00115FDA">
      <w:pPr>
        <w:pStyle w:val="ListBullet"/>
      </w:pPr>
      <w:r w:rsidRPr="00115FDA">
        <w:t xml:space="preserve">autonomously assemble and operate drain cleaning equipment that meets the requirements of a Class B system as defined by </w:t>
      </w:r>
      <w:r w:rsidRPr="00115FDA">
        <w:rPr>
          <w:rStyle w:val="Emphasis"/>
        </w:rPr>
        <w:t xml:space="preserve">AS 4233.1 </w:t>
      </w:r>
      <w:r w:rsidRPr="00115FDA">
        <w:rPr>
          <w:rStyle w:val="Emphasis"/>
        </w:rPr>
        <w:t>High pressure water jetting systems – Part 1: Safe operation and maintenance</w:t>
      </w:r>
      <w:r w:rsidRPr="00115FDA">
        <w:t xml:space="preserve"> to complete:</w:t>
      </w:r>
    </w:p>
    <w:p w:rsidR="00000000" w:rsidRPr="00115FDA" w:rsidP="00115FDA">
      <w:pPr>
        <w:pStyle w:val="ListBullet2"/>
      </w:pPr>
      <w:r w:rsidRPr="00115FDA">
        <w:t xml:space="preserve">one drain cleaning operation AND </w:t>
      </w:r>
    </w:p>
    <w:p w:rsidR="00000000" w:rsidRPr="00115FDA" w:rsidP="00115FDA">
      <w:pPr>
        <w:pStyle w:val="ListBullet2"/>
      </w:pPr>
      <w:r w:rsidRPr="00115FDA">
        <w:t>one drain clearing (choke/blockage) actual or simulated operation on a drainage system</w:t>
      </w:r>
    </w:p>
    <w:p w:rsidR="00000000" w:rsidRPr="00115FDA" w:rsidP="00115FDA">
      <w:pPr>
        <w:pStyle w:val="ListBullet"/>
      </w:pPr>
      <w:r w:rsidRPr="00115FDA">
        <w:t>use two different types of nozzles/heads ac</w:t>
      </w:r>
      <w:r w:rsidRPr="00115FDA">
        <w:t xml:space="preserve">ross the above operations. </w:t>
      </w:r>
    </w:p>
    <w:p w:rsidR="00000000" w:rsidRPr="00115FDA" w:rsidP="00115FDA">
      <w:pPr>
        <w:pStyle w:val="AllowPageBreak"/>
      </w:pPr>
    </w:p>
    <w:p w:rsidR="00000000" w:rsidRPr="00115FDA" w:rsidP="00115FDA">
      <w:pPr>
        <w:pStyle w:val="Heading1"/>
      </w:pPr>
      <w:bookmarkStart w:id="3" w:name="O_1202766"/>
      <w:bookmarkEnd w:id="3"/>
      <w:r w:rsidRPr="00115FDA">
        <w:t>Knowledge Evidence</w:t>
      </w:r>
    </w:p>
    <w:p w:rsidR="00000000" w:rsidRPr="00115FDA" w:rsidP="004924A9">
      <w:pPr>
        <w:pStyle w:val="BodyText"/>
      </w:pPr>
      <w:r w:rsidRPr="00115FDA">
        <w:t>There must be evidence the candidate has knowledge of:</w:t>
      </w:r>
    </w:p>
    <w:p w:rsidR="00000000" w:rsidRPr="00115FDA" w:rsidP="00115FDA">
      <w:pPr>
        <w:pStyle w:val="ListBullet"/>
      </w:pPr>
      <w:r w:rsidRPr="00115FDA">
        <w:t xml:space="preserve">existence and purpose of </w:t>
      </w:r>
      <w:r w:rsidRPr="00115FDA">
        <w:rPr>
          <w:rStyle w:val="Emphasis"/>
        </w:rPr>
        <w:t>AS 4233.1 High pressure water jetting systems – Part 1: Safe operation and maintenance</w:t>
      </w:r>
      <w:r w:rsidRPr="00115FDA">
        <w:t xml:space="preserve"> and Safe Work Australi</w:t>
      </w:r>
      <w:r w:rsidRPr="00115FDA">
        <w:t xml:space="preserve">a </w:t>
      </w:r>
      <w:r w:rsidRPr="00115FDA">
        <w:rPr>
          <w:rStyle w:val="Emphasis"/>
        </w:rPr>
        <w:t>Guide for Managing Risks from High Pressure Water Jetting</w:t>
      </w:r>
    </w:p>
    <w:p w:rsidR="00000000" w:rsidRPr="00115FDA" w:rsidP="00115FDA">
      <w:pPr>
        <w:pStyle w:val="ListBullet"/>
      </w:pPr>
      <w:r w:rsidRPr="00115FDA">
        <w:t xml:space="preserve">system controls required by </w:t>
      </w:r>
      <w:r w:rsidRPr="00115FDA">
        <w:rPr>
          <w:rStyle w:val="Emphasis"/>
        </w:rPr>
        <w:t xml:space="preserve">AS 4233.1 High pressure water jetting systems – Part 1: Safe operation and maintenance </w:t>
      </w:r>
      <w:r w:rsidRPr="00115FDA">
        <w:t xml:space="preserve">and Safe Work Australia </w:t>
      </w:r>
      <w:r w:rsidRPr="00115FDA">
        <w:rPr>
          <w:rStyle w:val="Emphasis"/>
        </w:rPr>
        <w:t>Guide for Managing Risks from High Pressure Water Jetting</w:t>
      </w:r>
    </w:p>
    <w:p w:rsidR="00000000" w:rsidRPr="00115FDA" w:rsidP="00115FDA">
      <w:pPr>
        <w:pStyle w:val="ListBullet"/>
      </w:pPr>
      <w:r w:rsidRPr="00115FDA">
        <w:t>hazards and hazard controls specific to the operation of drain cleaning equipment, including:</w:t>
      </w:r>
    </w:p>
    <w:p w:rsidR="00000000" w:rsidRPr="00115FDA" w:rsidP="00115FDA">
      <w:pPr>
        <w:pStyle w:val="ListBullet2"/>
      </w:pPr>
      <w:r w:rsidRPr="00115FDA">
        <w:t>physical hazards</w:t>
      </w:r>
    </w:p>
    <w:p w:rsidR="00000000" w:rsidRPr="00115FDA" w:rsidP="00115FDA">
      <w:pPr>
        <w:pStyle w:val="ListBullet2"/>
      </w:pPr>
      <w:r w:rsidRPr="00115FDA">
        <w:t>stored energy hazards</w:t>
      </w:r>
    </w:p>
    <w:p w:rsidR="00000000" w:rsidRPr="00115FDA" w:rsidP="00115FDA">
      <w:pPr>
        <w:pStyle w:val="ListBullet2"/>
      </w:pPr>
      <w:r w:rsidRPr="00115FDA">
        <w:t>working environment hazards</w:t>
      </w:r>
    </w:p>
    <w:p w:rsidR="00000000" w:rsidRPr="00115FDA" w:rsidP="00115FDA">
      <w:pPr>
        <w:pStyle w:val="ListBullet"/>
      </w:pPr>
      <w:r w:rsidRPr="00115FDA">
        <w:t xml:space="preserve">environmental protection considerations for drain cleaning operations </w:t>
      </w:r>
    </w:p>
    <w:p w:rsidR="00000000" w:rsidRPr="00115FDA" w:rsidP="00115FDA">
      <w:pPr>
        <w:pStyle w:val="ListBullet"/>
      </w:pPr>
      <w:r w:rsidRPr="00115FDA">
        <w:t>techniques and method</w:t>
      </w:r>
      <w:r w:rsidRPr="00115FDA">
        <w:t>ology of drain cleaning for drainage systems</w:t>
      </w:r>
    </w:p>
    <w:p w:rsidR="00000000" w:rsidRPr="00115FDA" w:rsidP="00115FDA">
      <w:pPr>
        <w:pStyle w:val="ListBullet"/>
      </w:pPr>
      <w:r w:rsidRPr="00115FDA">
        <w:t>principles of operation of drain cleaning equipment and its component items, including:</w:t>
      </w:r>
    </w:p>
    <w:p w:rsidR="00000000" w:rsidRPr="00115FDA" w:rsidP="00115FDA">
      <w:pPr>
        <w:pStyle w:val="ListBullet2"/>
      </w:pPr>
      <w:r w:rsidRPr="00115FDA">
        <w:t>positive displacement pump</w:t>
      </w:r>
    </w:p>
    <w:p w:rsidR="00000000" w:rsidRPr="00115FDA" w:rsidP="00115FDA">
      <w:pPr>
        <w:pStyle w:val="ListBullet2"/>
      </w:pPr>
      <w:r w:rsidRPr="00115FDA">
        <w:t>motive power</w:t>
      </w:r>
    </w:p>
    <w:p w:rsidR="00000000" w:rsidRPr="00115FDA" w:rsidP="00115FDA">
      <w:pPr>
        <w:pStyle w:val="ListBullet2"/>
      </w:pPr>
      <w:r w:rsidRPr="00115FDA">
        <w:t>hoses</w:t>
      </w:r>
    </w:p>
    <w:p w:rsidR="00000000" w:rsidRPr="00115FDA" w:rsidP="00115FDA">
      <w:pPr>
        <w:pStyle w:val="ListBullet2"/>
      </w:pPr>
      <w:r w:rsidRPr="00115FDA">
        <w:t>nozzles</w:t>
      </w:r>
    </w:p>
    <w:p w:rsidR="00000000" w:rsidRPr="00115FDA" w:rsidP="00115FDA">
      <w:pPr>
        <w:pStyle w:val="ListBullet2"/>
      </w:pPr>
      <w:r w:rsidRPr="00115FDA">
        <w:t>starter bars</w:t>
      </w:r>
    </w:p>
    <w:p w:rsidR="00000000" w:rsidRPr="00115FDA" w:rsidP="00115FDA">
      <w:pPr>
        <w:pStyle w:val="ListBullet2"/>
      </w:pPr>
      <w:r w:rsidRPr="00115FDA">
        <w:t>anti-withdrawal devices</w:t>
      </w:r>
    </w:p>
    <w:p w:rsidR="00000000" w:rsidRPr="00115FDA" w:rsidP="00115FDA">
      <w:pPr>
        <w:pStyle w:val="ListBullet2"/>
      </w:pPr>
      <w:r w:rsidRPr="00115FDA">
        <w:t xml:space="preserve">easement reel </w:t>
      </w:r>
    </w:p>
    <w:p w:rsidR="00000000" w:rsidRPr="00115FDA" w:rsidP="00115FDA">
      <w:pPr>
        <w:pStyle w:val="ListBullet"/>
      </w:pPr>
      <w:r w:rsidRPr="00115FDA">
        <w:t>equipment variables, including:</w:t>
      </w:r>
    </w:p>
    <w:p w:rsidR="00000000" w:rsidRPr="00115FDA" w:rsidP="00115FDA">
      <w:pPr>
        <w:pStyle w:val="ListBullet2"/>
      </w:pPr>
      <w:r w:rsidRPr="00115FDA">
        <w:t>hose type, size and restraints</w:t>
      </w:r>
    </w:p>
    <w:p w:rsidR="00000000" w:rsidRPr="00115FDA" w:rsidP="00115FDA">
      <w:pPr>
        <w:pStyle w:val="ListBullet2"/>
      </w:pPr>
      <w:r w:rsidRPr="00115FDA">
        <w:t>nozzle type</w:t>
      </w:r>
    </w:p>
    <w:p w:rsidR="00000000" w:rsidRPr="00115FDA" w:rsidP="00115FDA">
      <w:pPr>
        <w:pStyle w:val="ListBullet2"/>
      </w:pPr>
      <w:r w:rsidRPr="00115FDA">
        <w:t>pressure and flow required</w:t>
      </w:r>
    </w:p>
    <w:p w:rsidR="00000000" w:rsidRPr="00115FDA" w:rsidP="00115FDA">
      <w:pPr>
        <w:pStyle w:val="ListBullet"/>
      </w:pPr>
      <w:r w:rsidRPr="00115FDA">
        <w:t>units of measurement used in drawings and their practical application for equipment selection</w:t>
      </w:r>
    </w:p>
    <w:p w:rsidR="00000000" w:rsidRPr="00115FDA" w:rsidP="00115FDA">
      <w:pPr>
        <w:pStyle w:val="ListBullet"/>
      </w:pPr>
      <w:r w:rsidRPr="00115FDA">
        <w:t>graphics and symbols used on drawings</w:t>
      </w:r>
    </w:p>
    <w:p w:rsidR="00000000" w:rsidRPr="00115FDA" w:rsidP="00115FDA">
      <w:pPr>
        <w:pStyle w:val="ListBullet"/>
      </w:pPr>
      <w:r w:rsidRPr="00115FDA">
        <w:t>relationship between</w:t>
      </w:r>
      <w:r w:rsidRPr="00115FDA">
        <w:t xml:space="preserve"> views contained in drawings</w:t>
      </w:r>
    </w:p>
    <w:p w:rsidR="00000000" w:rsidRPr="00115FDA" w:rsidP="00115FDA">
      <w:pPr>
        <w:pStyle w:val="ListBullet"/>
      </w:pPr>
      <w:r w:rsidRPr="00115FDA">
        <w:t>correct methods of starting up, shutting down, operating and controlling drain cleaning equipment and its component items by type and application</w:t>
      </w:r>
    </w:p>
    <w:p w:rsidR="00000000" w:rsidRPr="00115FDA" w:rsidP="00115FDA">
      <w:pPr>
        <w:pStyle w:val="ListBullet"/>
      </w:pPr>
      <w:r w:rsidRPr="00115FDA">
        <w:t>communication systems used between operators, including hand signals</w:t>
      </w:r>
    </w:p>
    <w:p w:rsidR="00000000" w:rsidRPr="00115FDA" w:rsidP="00115FDA">
      <w:pPr>
        <w:pStyle w:val="ListBullet"/>
      </w:pPr>
      <w:r w:rsidRPr="00115FDA">
        <w:t xml:space="preserve">operational </w:t>
      </w:r>
      <w:r w:rsidRPr="00115FDA">
        <w:t>parameters and limits of equipment</w:t>
      </w:r>
    </w:p>
    <w:p w:rsidR="00000000" w:rsidRPr="00115FDA" w:rsidP="00115FDA">
      <w:pPr>
        <w:pStyle w:val="ListBullet"/>
      </w:pPr>
      <w:r w:rsidRPr="00115FDA">
        <w:t>types and causes of known problems for drain cleaning and its components and corrective action appropriate to the problem cause</w:t>
      </w:r>
    </w:p>
    <w:p w:rsidR="00000000" w:rsidRPr="00115FDA" w:rsidP="00115FDA">
      <w:pPr>
        <w:pStyle w:val="ListBullet"/>
      </w:pPr>
      <w:r w:rsidRPr="00115FDA">
        <w:t>importance of monitoring and controlling job conditions</w:t>
      </w:r>
    </w:p>
    <w:p w:rsidR="00000000" w:rsidRPr="00115FDA" w:rsidP="00115FDA">
      <w:pPr>
        <w:pStyle w:val="ListBullet"/>
      </w:pPr>
      <w:r w:rsidRPr="00115FDA">
        <w:t>methods for monitoring job variables,</w:t>
      </w:r>
      <w:r w:rsidRPr="00115FDA">
        <w:t xml:space="preserve"> and the appropriate corrective actions</w:t>
      </w:r>
    </w:p>
    <w:p w:rsidR="00000000" w:rsidRPr="00115FDA" w:rsidP="00115FDA">
      <w:pPr>
        <w:pStyle w:val="ListBullet"/>
      </w:pPr>
      <w:r w:rsidRPr="00115FDA">
        <w:t>types of situations that require:</w:t>
      </w:r>
    </w:p>
    <w:p w:rsidR="00000000" w:rsidRPr="00115FDA" w:rsidP="00115FDA">
      <w:pPr>
        <w:pStyle w:val="ListBullet2"/>
      </w:pPr>
      <w:r w:rsidRPr="00115FDA">
        <w:t>activation of an emergency stop</w:t>
      </w:r>
    </w:p>
    <w:p w:rsidR="00000000" w:rsidRPr="00115FDA" w:rsidP="00115FDA">
      <w:pPr>
        <w:pStyle w:val="ListBullet2"/>
      </w:pPr>
      <w:r w:rsidRPr="00115FDA">
        <w:t>stopping work until a situation is resolved</w:t>
      </w:r>
    </w:p>
    <w:p w:rsidR="00000000" w:rsidRPr="00115FDA" w:rsidP="00115FDA">
      <w:pPr>
        <w:pStyle w:val="ListBullet"/>
      </w:pPr>
      <w:r w:rsidRPr="00115FDA">
        <w:t>procedures for:</w:t>
      </w:r>
    </w:p>
    <w:p w:rsidR="00000000" w:rsidRPr="00115FDA" w:rsidP="00115FDA">
      <w:pPr>
        <w:pStyle w:val="ListBullet2"/>
      </w:pPr>
      <w:r w:rsidRPr="00115FDA">
        <w:t>raising the alarm (when, how, who to)</w:t>
      </w:r>
    </w:p>
    <w:p w:rsidR="00000000" w:rsidRPr="00115FDA" w:rsidP="00115FDA">
      <w:pPr>
        <w:pStyle w:val="ListBullet2"/>
      </w:pPr>
      <w:r w:rsidRPr="00115FDA">
        <w:t>responding to injury</w:t>
      </w:r>
    </w:p>
    <w:p w:rsidR="00000000" w:rsidRPr="00115FDA" w:rsidP="00115FDA">
      <w:pPr>
        <w:pStyle w:val="ListBullet"/>
      </w:pPr>
      <w:r w:rsidRPr="00115FDA">
        <w:t>routine cleaning and servicing requirements for drain cleaning equipment</w:t>
      </w:r>
    </w:p>
    <w:p w:rsidR="00000000" w:rsidRPr="00115FDA" w:rsidP="00115FDA">
      <w:pPr>
        <w:pStyle w:val="ListBullet"/>
      </w:pPr>
      <w:r w:rsidRPr="00115FDA">
        <w:t>types of waste generated and procedures for safe disposal.</w:t>
      </w:r>
    </w:p>
    <w:p w:rsidR="00000000" w:rsidRPr="00115FDA" w:rsidP="00115FDA">
      <w:pPr>
        <w:pStyle w:val="AllowPageBreak"/>
      </w:pPr>
    </w:p>
    <w:p w:rsidR="00000000" w:rsidRPr="00115FDA" w:rsidP="00115FDA">
      <w:pPr>
        <w:pStyle w:val="Heading1"/>
      </w:pPr>
      <w:bookmarkStart w:id="4" w:name="O_1202767"/>
      <w:bookmarkEnd w:id="4"/>
      <w:r w:rsidRPr="00115FDA">
        <w:t>Assessment Conditions</w:t>
      </w:r>
    </w:p>
    <w:p w:rsidR="00000000" w:rsidRPr="00115FDA" w:rsidP="004924A9">
      <w:pPr>
        <w:pStyle w:val="BodyText"/>
      </w:pPr>
      <w:r w:rsidRPr="00115FDA">
        <w:t>Skills must have been demonstrated in the workplace or in a simulated environment t</w:t>
      </w:r>
      <w:r w:rsidRPr="00115FDA">
        <w:t>hat reflects workplace conditions and contingencies.</w:t>
      </w:r>
    </w:p>
    <w:p w:rsidR="00000000" w:rsidRPr="00115FDA" w:rsidP="004924A9">
      <w:pPr>
        <w:pStyle w:val="BodyText"/>
      </w:pPr>
      <w:r w:rsidRPr="00115FDA">
        <w:t>The following conditions must be met for this unit:</w:t>
      </w:r>
    </w:p>
    <w:p w:rsidR="00000000" w:rsidRPr="00115FDA" w:rsidP="00115FDA">
      <w:pPr>
        <w:pStyle w:val="ListBullet"/>
      </w:pPr>
      <w:r w:rsidRPr="00115FDA">
        <w:t>use of suitable facilities, equipment and resources, including:</w:t>
      </w:r>
    </w:p>
    <w:p w:rsidR="00000000" w:rsidRPr="00115FDA" w:rsidP="00115FDA">
      <w:pPr>
        <w:pStyle w:val="ListBullet2"/>
      </w:pPr>
      <w:r w:rsidRPr="00115FDA">
        <w:t>drain cleaning system and other tools and materials to complete tasks specified in th</w:t>
      </w:r>
      <w:r w:rsidRPr="00115FDA">
        <w:t>e performance evidence</w:t>
      </w:r>
    </w:p>
    <w:p w:rsidR="00000000" w:rsidRPr="00115FDA" w:rsidP="00115FDA">
      <w:pPr>
        <w:pStyle w:val="ListBullet2"/>
      </w:pPr>
      <w:r w:rsidRPr="00115FDA">
        <w:t>safety and personal protective equipment (PPE)</w:t>
      </w:r>
    </w:p>
    <w:p w:rsidR="00000000" w:rsidRPr="00115FDA" w:rsidP="00115FDA">
      <w:pPr>
        <w:pStyle w:val="ListBullet2"/>
      </w:pPr>
      <w:r w:rsidRPr="00115FDA">
        <w:t>job documentation.</w:t>
      </w:r>
    </w:p>
    <w:p w:rsidR="00000000" w:rsidRPr="00115FDA" w:rsidP="004924A9">
      <w:pPr>
        <w:pStyle w:val="BodyText"/>
      </w:pPr>
      <w:r w:rsidRPr="00115FDA">
        <w:t>Assessors must satisfy the NVR/AQTF mandatory competency requirements for assessors.</w:t>
      </w:r>
    </w:p>
    <w:p w:rsidR="00000000" w:rsidRPr="00115FDA" w:rsidP="00115FDA">
      <w:pPr>
        <w:pStyle w:val="Heading1"/>
      </w:pPr>
      <w:bookmarkStart w:id="5" w:name="O_1202770"/>
      <w:bookmarkEnd w:id="5"/>
      <w:r w:rsidRPr="00115FDA">
        <w:t>Links</w:t>
      </w:r>
    </w:p>
    <w:p w:rsidR="00000000" w:rsidRPr="00115FDA" w:rsidP="004924A9">
      <w:pPr>
        <w:pStyle w:val="BodyText"/>
      </w:pPr>
      <w:r w:rsidRPr="00115F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F4DC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15FDA" w:rsidP="00115FDA"/>
    <w:sectPr w:rsidSect="00115F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DA" w:rsidRPr="004924A9" w:rsidP="00492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A9" w:rsidP="00115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4A9" w:rsidP="00115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24A9" w:rsidP="00115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FDA" w:rsidRPr="004924A9" w:rsidP="00492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A9" w:rsidRPr="002D2AF8" w:rsidP="00115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MSMWJ305 Operate a drain cleaning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924A9" w:rsidP="00115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547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D85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D21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FDA"/>
  </w:style>
  <w:style w:type="character" w:customStyle="1" w:styleId="Heading1Char">
    <w:name w:val="Heading 1 Char"/>
    <w:basedOn w:val="DefaultParagraphFont"/>
    <w:link w:val="Heading1"/>
    <w:rsid w:val="00115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F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5F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5F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5FDA"/>
    <w:rPr>
      <w:i/>
    </w:rPr>
  </w:style>
  <w:style w:type="paragraph" w:customStyle="1" w:styleId="SuperHeading">
    <w:name w:val="SuperHeading"/>
    <w:basedOn w:val="Normal"/>
    <w:rsid w:val="00115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5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F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5F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5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5FDA"/>
    <w:rPr>
      <w:b/>
      <w:spacing w:val="0"/>
    </w:rPr>
  </w:style>
  <w:style w:type="paragraph" w:customStyle="1" w:styleId="SuperTitle">
    <w:name w:val="SuperTitle"/>
    <w:basedOn w:val="Title"/>
    <w:rsid w:val="00115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5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F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5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FDA"/>
  </w:style>
  <w:style w:type="paragraph" w:styleId="TableofFigures">
    <w:name w:val="table of figures"/>
    <w:basedOn w:val="Normal"/>
    <w:next w:val="Normal"/>
    <w:semiHidden/>
    <w:rsid w:val="00115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F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5FDA"/>
    <w:rPr>
      <w:rFonts w:ascii="Wingdings" w:hAnsi="Wingdings"/>
    </w:rPr>
  </w:style>
  <w:style w:type="paragraph" w:customStyle="1" w:styleId="TableHeading">
    <w:name w:val="Table Heading"/>
    <w:basedOn w:val="HeadingBase"/>
    <w:rsid w:val="00115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FDA"/>
    <w:rPr>
      <w:color w:val="0033CC"/>
      <w:u w:val="none"/>
    </w:rPr>
  </w:style>
  <w:style w:type="paragraph" w:customStyle="1" w:styleId="BodyTextRight">
    <w:name w:val="Body Text Right"/>
    <w:basedOn w:val="BodyText"/>
    <w:rsid w:val="00115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F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FDA"/>
    <w:rPr>
      <w:sz w:val="32"/>
    </w:rPr>
  </w:style>
  <w:style w:type="paragraph" w:customStyle="1" w:styleId="HeadingProcedure">
    <w:name w:val="Heading Procedure"/>
    <w:basedOn w:val="HeadingBase"/>
    <w:next w:val="Normal"/>
    <w:rsid w:val="00115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FDA"/>
    <w:pPr>
      <w:spacing w:before="60" w:after="60"/>
    </w:pPr>
  </w:style>
  <w:style w:type="paragraph" w:styleId="ListContinue">
    <w:name w:val="List Continue"/>
    <w:basedOn w:val="List"/>
    <w:rsid w:val="00115FDA"/>
    <w:pPr>
      <w:ind w:firstLine="0"/>
    </w:pPr>
  </w:style>
  <w:style w:type="paragraph" w:customStyle="1" w:styleId="ListNote">
    <w:name w:val="List Note"/>
    <w:basedOn w:val="List"/>
    <w:rsid w:val="00115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FDA"/>
    <w:rPr>
      <w:rFonts w:ascii="Courier New" w:hAnsi="Courier New"/>
    </w:rPr>
  </w:style>
  <w:style w:type="paragraph" w:customStyle="1" w:styleId="NoteBullet">
    <w:name w:val="Note Bullet"/>
    <w:basedOn w:val="Note"/>
    <w:rsid w:val="00115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F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5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FDA"/>
    <w:rPr>
      <w:b/>
      <w:smallCaps/>
    </w:rPr>
  </w:style>
  <w:style w:type="paragraph" w:customStyle="1" w:styleId="TableListNumber">
    <w:name w:val="Table List Number"/>
    <w:basedOn w:val="ListNumber"/>
    <w:rsid w:val="00115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FDA"/>
    <w:pPr>
      <w:numPr>
        <w:numId w:val="9"/>
      </w:numPr>
    </w:pPr>
  </w:style>
  <w:style w:type="paragraph" w:customStyle="1" w:styleId="ListAlpha2">
    <w:name w:val="List Alpha 2"/>
    <w:basedOn w:val="List2"/>
    <w:rsid w:val="00115FDA"/>
    <w:pPr>
      <w:numPr>
        <w:numId w:val="8"/>
      </w:numPr>
    </w:pPr>
  </w:style>
  <w:style w:type="paragraph" w:styleId="List2">
    <w:name w:val="List 2"/>
    <w:basedOn w:val="BodyText"/>
    <w:rsid w:val="00115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F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F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5FDA"/>
    <w:pPr>
      <w:numPr>
        <w:numId w:val="4"/>
      </w:numPr>
    </w:pPr>
  </w:style>
  <w:style w:type="paragraph" w:styleId="ListContinue2">
    <w:name w:val="List Continue 2"/>
    <w:basedOn w:val="List2"/>
    <w:rsid w:val="00115FDA"/>
    <w:pPr>
      <w:ind w:firstLine="0"/>
    </w:pPr>
  </w:style>
  <w:style w:type="paragraph" w:styleId="ListContinue3">
    <w:name w:val="List Continue 3"/>
    <w:basedOn w:val="List3"/>
    <w:rsid w:val="00115FDA"/>
    <w:pPr>
      <w:ind w:left="1021" w:firstLine="0"/>
    </w:pPr>
  </w:style>
  <w:style w:type="paragraph" w:styleId="ListContinue4">
    <w:name w:val="List Continue 4"/>
    <w:basedOn w:val="List4"/>
    <w:rsid w:val="00115FDA"/>
    <w:pPr>
      <w:ind w:firstLine="0"/>
    </w:pPr>
  </w:style>
  <w:style w:type="paragraph" w:styleId="ListContinue5">
    <w:name w:val="List Continue 5"/>
    <w:basedOn w:val="List5"/>
    <w:rsid w:val="00115FDA"/>
    <w:pPr>
      <w:ind w:firstLine="0"/>
    </w:pPr>
  </w:style>
  <w:style w:type="paragraph" w:styleId="ListNumber3">
    <w:name w:val="List Number 3"/>
    <w:basedOn w:val="List3"/>
    <w:rsid w:val="00115FDA"/>
    <w:pPr>
      <w:numPr>
        <w:numId w:val="5"/>
      </w:numPr>
    </w:pPr>
  </w:style>
  <w:style w:type="paragraph" w:styleId="ListNumber4">
    <w:name w:val="List Number 4"/>
    <w:basedOn w:val="List4"/>
    <w:rsid w:val="00115FDA"/>
    <w:pPr>
      <w:numPr>
        <w:numId w:val="6"/>
      </w:numPr>
    </w:pPr>
  </w:style>
  <w:style w:type="paragraph" w:styleId="ListNumber5">
    <w:name w:val="List Number 5"/>
    <w:basedOn w:val="List5"/>
    <w:rsid w:val="00115FDA"/>
    <w:pPr>
      <w:numPr>
        <w:numId w:val="7"/>
      </w:numPr>
    </w:pPr>
  </w:style>
  <w:style w:type="paragraph" w:styleId="BlockText">
    <w:name w:val="Block Text"/>
    <w:basedOn w:val="Normal"/>
    <w:rsid w:val="00115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FDA"/>
    <w:rPr>
      <w:sz w:val="16"/>
      <w:vertAlign w:val="superscript"/>
    </w:rPr>
  </w:style>
  <w:style w:type="character" w:customStyle="1" w:styleId="Symbols">
    <w:name w:val="Symbols"/>
    <w:basedOn w:val="DefaultParagraphFont"/>
    <w:rsid w:val="00115FDA"/>
    <w:rPr>
      <w:rFonts w:ascii="Symbol" w:hAnsi="Symbol"/>
    </w:rPr>
  </w:style>
  <w:style w:type="character" w:customStyle="1" w:styleId="MenuOptions">
    <w:name w:val="Menu Options"/>
    <w:basedOn w:val="DefaultParagraphFont"/>
    <w:rsid w:val="00115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FDA"/>
    <w:rPr>
      <w:b/>
    </w:rPr>
  </w:style>
  <w:style w:type="character" w:customStyle="1" w:styleId="Underlined">
    <w:name w:val="Underlined"/>
    <w:basedOn w:val="DefaultParagraphFont"/>
    <w:rsid w:val="00115FDA"/>
    <w:rPr>
      <w:u w:val="single"/>
    </w:rPr>
  </w:style>
  <w:style w:type="paragraph" w:customStyle="1" w:styleId="TableBodyTextRight">
    <w:name w:val="Table Body Text Right"/>
    <w:basedOn w:val="TableBodyText"/>
    <w:rsid w:val="00115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FDA"/>
    <w:rPr>
      <w:sz w:val="18"/>
    </w:rPr>
  </w:style>
  <w:style w:type="paragraph" w:customStyle="1" w:styleId="BodySmallRight">
    <w:name w:val="Body Small Right"/>
    <w:basedOn w:val="BodyTextRight"/>
    <w:rsid w:val="00115FDA"/>
    <w:rPr>
      <w:sz w:val="18"/>
      <w:szCs w:val="18"/>
    </w:rPr>
  </w:style>
  <w:style w:type="paragraph" w:customStyle="1" w:styleId="MarginEdition">
    <w:name w:val="Margin Edition"/>
    <w:basedOn w:val="MarginNote"/>
    <w:rsid w:val="00115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FDA"/>
    <w:rPr>
      <w:sz w:val="2"/>
      <w:szCs w:val="2"/>
    </w:rPr>
  </w:style>
  <w:style w:type="character" w:customStyle="1" w:styleId="Small">
    <w:name w:val="Small"/>
    <w:basedOn w:val="DefaultParagraphFont"/>
    <w:rsid w:val="00115FDA"/>
    <w:rPr>
      <w:sz w:val="16"/>
    </w:rPr>
  </w:style>
  <w:style w:type="paragraph" w:customStyle="1" w:styleId="WideTable">
    <w:name w:val="Wide Table"/>
    <w:basedOn w:val="Normal"/>
    <w:rsid w:val="00115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FDA"/>
  </w:style>
  <w:style w:type="paragraph" w:styleId="Quote">
    <w:name w:val="Quote"/>
    <w:basedOn w:val="Heading1"/>
    <w:link w:val="QuoteChar"/>
    <w:qFormat/>
    <w:rsid w:val="00115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FDA"/>
    <w:pPr>
      <w:pageBreakBefore/>
    </w:pPr>
  </w:style>
  <w:style w:type="paragraph" w:customStyle="1" w:styleId="Border">
    <w:name w:val="Border"/>
    <w:basedOn w:val="Normal"/>
    <w:qFormat/>
    <w:rsid w:val="00115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FDA"/>
    <w:rPr>
      <w:u w:val="single"/>
    </w:rPr>
  </w:style>
  <w:style w:type="character" w:customStyle="1" w:styleId="BoldandItalics">
    <w:name w:val="Bold and Italics"/>
    <w:qFormat/>
    <w:rsid w:val="00115FDA"/>
    <w:rPr>
      <w:b/>
      <w:i/>
      <w:u w:val="none"/>
    </w:rPr>
  </w:style>
  <w:style w:type="paragraph" w:styleId="BalloonText">
    <w:name w:val="Balloon Text"/>
    <w:basedOn w:val="Normal"/>
    <w:link w:val="BalloonTextChar"/>
    <w:rsid w:val="00115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FDA"/>
    <w:pPr>
      <w:spacing w:before="0" w:after="0"/>
    </w:pPr>
  </w:style>
  <w:style w:type="paragraph" w:customStyle="1" w:styleId="BodyTextBold">
    <w:name w:val="Body Text Bold"/>
    <w:basedOn w:val="BodyText"/>
    <w:qFormat/>
    <w:rsid w:val="00115FDA"/>
    <w:rPr>
      <w:b/>
    </w:rPr>
  </w:style>
  <w:style w:type="character" w:styleId="Hyperlink">
    <w:name w:val="Hyperlink"/>
    <w:basedOn w:val="DefaultParagraphFont"/>
    <w:uiPriority w:val="99"/>
    <w:unhideWhenUsed/>
    <w:rsid w:val="00492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3401</Characters>
  <Application>Microsoft Office Word</Application>
  <DocSecurity>0</DocSecurity>
  <Lines>87</Lines>
  <Paragraphs>71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MSMWJ305 Operate a drain cleaning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2023-02-03T05:52:00Z</dcterms:created>
  <dcterms:modified xsi:type="dcterms:W3CDTF">2023-02-03T05:52:00Z</dcterms:modified>
</cp:coreProperties>
</file>