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1B0E" w:rsidP="00371B0E">
      <w:pPr>
        <w:pStyle w:val="Title"/>
      </w:pPr>
      <w:r>
        <w:fldChar w:fldCharType="begin"/>
      </w:r>
      <w:r>
        <w:instrText xml:space="preserve"> TITLE   \* MERGEFORMAT </w:instrText>
      </w:r>
      <w:r>
        <w:fldChar w:fldCharType="separate"/>
      </w:r>
      <w:r>
        <w:t>MSMWHS510 Manage risk</w:t>
      </w:r>
      <w:r>
        <w:fldChar w:fldCharType="end"/>
      </w:r>
    </w:p>
    <w:p w:rsidR="00371B0E" w:rsidP="00371B0E">
      <w:pPr>
        <w:pStyle w:val="Version"/>
        <w:sectPr w:rsidSect="00BD52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52E6" w:rsidP="00BD52E6">
      <w:pPr>
        <w:pStyle w:val="SuperHeading"/>
      </w:pPr>
      <w:r w:rsidRPr="00BD52E6">
        <w:t>MSMWHS510 Manage risk</w:t>
      </w:r>
    </w:p>
    <w:p w:rsidR="00000000" w:rsidRPr="00BD52E6" w:rsidP="00BD52E6">
      <w:pPr>
        <w:pStyle w:val="Heading1"/>
      </w:pPr>
      <w:bookmarkStart w:id="1" w:name="O_873445"/>
      <w:bookmarkEnd w:id="1"/>
      <w:r w:rsidRPr="00BD52E6">
        <w:t>Modification History</w:t>
      </w:r>
    </w:p>
    <w:p w:rsidR="00000000" w:rsidRPr="00BD52E6" w:rsidP="00371B0E">
      <w:pPr>
        <w:pStyle w:val="BodyText"/>
      </w:pPr>
      <w:r w:rsidRPr="00BD52E6">
        <w:t>Release 1. Supersedes and is equivalent to MSAPMOHS510A Manage risk</w:t>
      </w:r>
    </w:p>
    <w:p w:rsidR="00000000" w:rsidRPr="00BD52E6" w:rsidP="00BD52E6">
      <w:pPr>
        <w:pStyle w:val="Heading1"/>
      </w:pPr>
      <w:bookmarkStart w:id="2" w:name="O_873453"/>
      <w:bookmarkEnd w:id="2"/>
      <w:r w:rsidRPr="00BD52E6">
        <w:t>Application</w:t>
      </w:r>
    </w:p>
    <w:p w:rsidR="00000000" w:rsidRPr="00BD52E6" w:rsidP="00371B0E">
      <w:pPr>
        <w:pStyle w:val="BodyText"/>
      </w:pPr>
      <w:r w:rsidRPr="00BD52E6">
        <w:t xml:space="preserve">This unit of competency covers the skills and knowledge required to develop, implement and evaluate an organisation-wide risk management plan. Risk management </w:t>
      </w:r>
      <w:r w:rsidRPr="00BD52E6">
        <w:t>is defined as coordinated activities to direct and control an organisation with regard to risk. It incorporates an assessment of all potential risks facing the organisation and the approach, management components and resources to be applied to the manageme</w:t>
      </w:r>
      <w:r w:rsidRPr="00BD52E6">
        <w:t>nt of risk. It focuses on avoiding/eliminating critical incidents rather than on recovering from a disaster.</w:t>
      </w:r>
    </w:p>
    <w:p w:rsidR="00000000" w:rsidRPr="00BD52E6" w:rsidP="00371B0E">
      <w:pPr>
        <w:pStyle w:val="BodyText"/>
      </w:pPr>
      <w:r w:rsidRPr="00BD52E6">
        <w:t>This unit of competency applies to managers or work health and safety (WHS) specialists who are developing or maintaining a risk management plan f</w:t>
      </w:r>
      <w:r w:rsidRPr="00BD52E6">
        <w:t xml:space="preserve">or their site or organisation. </w:t>
      </w:r>
    </w:p>
    <w:p w:rsidR="00000000" w:rsidRPr="00BD52E6" w:rsidP="00371B0E">
      <w:pPr>
        <w:pStyle w:val="BodyText"/>
      </w:pPr>
      <w:r w:rsidRPr="00BD52E6">
        <w:t xml:space="preserve">This unit of competency is based on </w:t>
      </w:r>
      <w:r w:rsidRPr="00BD52E6">
        <w:rPr>
          <w:rStyle w:val="Emphasis"/>
        </w:rPr>
        <w:t>AS/NZS ISO 31000:2009 Risk management - Principles and guidelines</w:t>
      </w:r>
      <w:r w:rsidRPr="00BD52E6">
        <w:t xml:space="preserve"> and can be applied to any aspect of risk in an organisation. When applied to health, safety and environment (HSE) risks t</w:t>
      </w:r>
      <w:r w:rsidRPr="00BD52E6">
        <w:t>he business and other risks consequent on them are also considered.</w:t>
      </w:r>
    </w:p>
    <w:p w:rsidR="00000000" w:rsidRPr="00BD52E6" w:rsidP="00371B0E">
      <w:pPr>
        <w:pStyle w:val="BodyText"/>
      </w:pPr>
      <w:r w:rsidRPr="00BD52E6">
        <w:t>This unit of competency applies to an individual working alone or as part of a team or group and working in liaison with other shift team members and the control room operator, as appropr</w:t>
      </w:r>
      <w:r w:rsidRPr="00BD52E6">
        <w:t>iate.</w:t>
      </w:r>
    </w:p>
    <w:p w:rsidR="00000000" w:rsidRPr="00BD52E6" w:rsidP="00371B0E">
      <w:pPr>
        <w:pStyle w:val="BodyText"/>
      </w:pPr>
      <w:r w:rsidRPr="00BD52E6">
        <w:t>No licensing, legislative or certification requirements apply to this unit at the time of publication.</w:t>
      </w:r>
    </w:p>
    <w:p w:rsidR="00000000" w:rsidRPr="00BD52E6" w:rsidP="00BD52E6">
      <w:pPr>
        <w:pStyle w:val="Heading1"/>
      </w:pPr>
      <w:bookmarkStart w:id="3" w:name="O_873452"/>
      <w:bookmarkEnd w:id="3"/>
      <w:r w:rsidRPr="00BD52E6">
        <w:t>Pre-requisite Unit</w:t>
      </w:r>
    </w:p>
    <w:p w:rsidR="00000000" w:rsidRPr="00BD52E6" w:rsidP="00371B0E">
      <w:pPr>
        <w:pStyle w:val="BodyText"/>
      </w:pPr>
      <w:r w:rsidRPr="00BD52E6">
        <w:t>Nil</w:t>
      </w:r>
    </w:p>
    <w:p w:rsidR="00000000" w:rsidRPr="00BD52E6" w:rsidP="00BD52E6">
      <w:pPr>
        <w:pStyle w:val="Heading1"/>
      </w:pPr>
      <w:bookmarkStart w:id="4" w:name="O_873451"/>
      <w:bookmarkEnd w:id="4"/>
      <w:r w:rsidRPr="00BD52E6">
        <w:t>Competency Field</w:t>
      </w:r>
    </w:p>
    <w:p w:rsidR="00000000" w:rsidRPr="00BD52E6" w:rsidP="00371B0E">
      <w:pPr>
        <w:pStyle w:val="BodyText"/>
      </w:pPr>
      <w:r w:rsidRPr="00BD52E6">
        <w:t>Work health and safety</w:t>
      </w:r>
    </w:p>
    <w:p w:rsidR="00000000" w:rsidRPr="00BD52E6" w:rsidP="00BD52E6">
      <w:pPr>
        <w:pStyle w:val="Heading1"/>
      </w:pPr>
      <w:bookmarkStart w:id="5" w:name="O_873450"/>
      <w:bookmarkEnd w:id="5"/>
      <w:r w:rsidRPr="00BD52E6">
        <w:t>Unit Sector</w:t>
      </w:r>
    </w:p>
    <w:p w:rsidR="00000000" w:rsidRPr="00BD52E6" w:rsidP="00BD52E6">
      <w:pPr>
        <w:pStyle w:val="Heading1"/>
      </w:pPr>
      <w:bookmarkStart w:id="6" w:name="O_873449"/>
      <w:bookmarkEnd w:id="6"/>
      <w:r w:rsidRPr="00BD52E6">
        <w:t>Elem</w:t>
      </w:r>
      <w:r w:rsidRPr="00BD52E6">
        <w:t>ents and Performance Criteria</w:t>
      </w:r>
    </w:p>
    <w:tbl>
      <w:tblPr>
        <w:tblW w:w="0" w:type="auto"/>
        <w:tblLayout w:type="fixed"/>
        <w:tblCellMar>
          <w:left w:w="62" w:type="dxa"/>
          <w:right w:w="62" w:type="dxa"/>
        </w:tblCellMar>
        <w:tblLook w:val="0000"/>
      </w:tblPr>
      <w:tblGrid>
        <w:gridCol w:w="678"/>
        <w:gridCol w:w="1962"/>
        <w:gridCol w:w="770"/>
        <w:gridCol w:w="5610"/>
      </w:tblGrid>
      <w:tr w:rsidTr="00BD52E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D52E6">
            <w:pPr>
              <w:pStyle w:val="BodyText"/>
              <w:rPr>
                <w:lang w:val="en-NZ"/>
              </w:rPr>
            </w:pPr>
            <w:r w:rsidRPr="00BD52E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D52E6">
            <w:pPr>
              <w:pStyle w:val="BodyText"/>
              <w:rPr>
                <w:lang w:val="en-NZ"/>
              </w:rPr>
            </w:pPr>
            <w:r w:rsidRPr="00BD52E6">
              <w:t>Performance criteria describe the performance needed to demonstrate achievement of the element</w:t>
            </w:r>
          </w:p>
        </w:tc>
      </w:tr>
      <w:tr w:rsidTr="00BD52E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BD52E6">
            <w:pPr>
              <w:pStyle w:val="BodyText"/>
              <w:rPr>
                <w:lang w:val="en-NZ"/>
              </w:rPr>
            </w:pPr>
          </w:p>
        </w:tc>
      </w:tr>
      <w:tr w:rsidTr="00BD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D52E6">
            <w:pPr>
              <w:pStyle w:val="BodyText"/>
              <w:rPr>
                <w:lang w:val="en-NZ"/>
              </w:rPr>
            </w:pPr>
            <w:r w:rsidRPr="00BD52E6">
              <w:t>1</w:t>
            </w:r>
          </w:p>
        </w:tc>
        <w:tc>
          <w:tcPr>
            <w:tcW w:w="1962" w:type="dxa"/>
            <w:vMerge w:val="restart"/>
            <w:tcBorders>
              <w:top w:val="nil"/>
              <w:left w:val="nil"/>
              <w:bottom w:val="nil"/>
              <w:right w:val="nil"/>
            </w:tcBorders>
            <w:tcMar>
              <w:top w:w="0" w:type="dxa"/>
              <w:left w:w="62" w:type="dxa"/>
              <w:bottom w:w="0" w:type="dxa"/>
              <w:right w:w="62" w:type="dxa"/>
            </w:tcMar>
          </w:tcPr>
          <w:p w:rsidR="00000000" w:rsidP="00BD52E6">
            <w:pPr>
              <w:pStyle w:val="BodyText"/>
              <w:rPr>
                <w:lang w:val="en-NZ"/>
              </w:rPr>
            </w:pPr>
            <w:r w:rsidRPr="00BD52E6">
              <w:t>Develop risk management plan</w:t>
            </w:r>
          </w:p>
        </w:tc>
        <w:tc>
          <w:tcPr>
            <w:tcW w:w="770" w:type="dxa"/>
            <w:tcBorders>
              <w:top w:val="nil"/>
              <w:left w:val="nil"/>
              <w:bottom w:val="nil"/>
              <w:right w:val="nil"/>
            </w:tcBorders>
            <w:tcMar>
              <w:top w:w="0" w:type="dxa"/>
              <w:left w:w="62" w:type="dxa"/>
              <w:bottom w:w="0" w:type="dxa"/>
              <w:right w:w="62" w:type="dxa"/>
            </w:tcMar>
          </w:tcPr>
          <w:p w:rsidR="00000000" w:rsidP="00BD52E6">
            <w:pPr>
              <w:pStyle w:val="BodyText"/>
              <w:rPr>
                <w:lang w:val="en-NZ"/>
              </w:rPr>
            </w:pPr>
            <w:r w:rsidRPr="00BD52E6">
              <w:t>1.1</w:t>
            </w:r>
          </w:p>
        </w:tc>
        <w:tc>
          <w:tcPr>
            <w:tcW w:w="5610" w:type="dxa"/>
            <w:tcBorders>
              <w:top w:val="nil"/>
              <w:left w:val="nil"/>
              <w:bottom w:val="nil"/>
              <w:right w:val="nil"/>
            </w:tcBorders>
            <w:tcMar>
              <w:top w:w="0" w:type="dxa"/>
              <w:left w:w="62" w:type="dxa"/>
              <w:bottom w:w="0" w:type="dxa"/>
              <w:right w:w="62" w:type="dxa"/>
            </w:tcMar>
          </w:tcPr>
          <w:p w:rsidR="00000000" w:rsidP="00BD52E6">
            <w:pPr>
              <w:pStyle w:val="BodyText"/>
              <w:rPr>
                <w:lang w:val="en-NZ"/>
              </w:rPr>
            </w:pPr>
            <w:r w:rsidRPr="00BD52E6">
              <w:t>Analyse and interpret strategic position and policy on risk management</w:t>
            </w:r>
          </w:p>
        </w:tc>
      </w:tr>
      <w:tr w:rsidTr="00BD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52E6">
            <w:pPr>
              <w:pStyle w:val="BodyText"/>
              <w:rPr>
                <w:lang w:val="en-NZ"/>
              </w:rPr>
            </w:pPr>
            <w:r w:rsidRPr="00BD52E6">
              <w:t>1.2</w:t>
            </w:r>
          </w:p>
        </w:tc>
        <w:tc>
          <w:tcPr>
            <w:tcW w:w="5610" w:type="dxa"/>
            <w:tcBorders>
              <w:top w:val="nil"/>
              <w:left w:val="nil"/>
              <w:bottom w:val="nil"/>
              <w:right w:val="nil"/>
            </w:tcBorders>
            <w:tcMar>
              <w:top w:w="0" w:type="dxa"/>
              <w:left w:w="62" w:type="dxa"/>
              <w:bottom w:w="0" w:type="dxa"/>
              <w:right w:w="62" w:type="dxa"/>
            </w:tcMar>
          </w:tcPr>
          <w:p w:rsidR="00000000" w:rsidP="00BD52E6">
            <w:pPr>
              <w:pStyle w:val="BodyText"/>
              <w:rPr>
                <w:lang w:val="en-NZ"/>
              </w:rPr>
            </w:pPr>
            <w:r w:rsidRPr="00BD52E6">
              <w:t>Identify risk management context and potential areas of risk</w:t>
            </w:r>
          </w:p>
        </w:tc>
      </w:tr>
      <w:tr w:rsidTr="00BD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52E6">
            <w:pPr>
              <w:pStyle w:val="BodyText"/>
              <w:rPr>
                <w:lang w:val="en-NZ"/>
              </w:rPr>
            </w:pPr>
            <w:r w:rsidRPr="00BD52E6">
              <w:t>1.3</w:t>
            </w:r>
          </w:p>
        </w:tc>
        <w:tc>
          <w:tcPr>
            <w:tcW w:w="5610" w:type="dxa"/>
            <w:tcBorders>
              <w:top w:val="nil"/>
              <w:left w:val="nil"/>
              <w:bottom w:val="nil"/>
              <w:right w:val="nil"/>
            </w:tcBorders>
            <w:tcMar>
              <w:top w:w="0" w:type="dxa"/>
              <w:left w:w="62" w:type="dxa"/>
              <w:bottom w:w="0" w:type="dxa"/>
              <w:right w:w="62" w:type="dxa"/>
            </w:tcMar>
          </w:tcPr>
          <w:p w:rsidR="00000000" w:rsidP="00BD52E6">
            <w:pPr>
              <w:pStyle w:val="BodyText"/>
              <w:rPr>
                <w:lang w:val="en-NZ"/>
              </w:rPr>
            </w:pPr>
            <w:r w:rsidRPr="00BD52E6">
              <w:t>Analyse organisational capability to manage risk and achieve objectives</w:t>
            </w:r>
          </w:p>
        </w:tc>
      </w:tr>
      <w:tr w:rsidTr="00BD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52E6">
            <w:pPr>
              <w:pStyle w:val="BodyText"/>
              <w:rPr>
                <w:lang w:val="en-NZ"/>
              </w:rPr>
            </w:pPr>
            <w:r w:rsidRPr="00BD52E6">
              <w:t>1.4</w:t>
            </w:r>
          </w:p>
        </w:tc>
        <w:tc>
          <w:tcPr>
            <w:tcW w:w="5610" w:type="dxa"/>
            <w:tcBorders>
              <w:top w:val="nil"/>
              <w:left w:val="nil"/>
              <w:bottom w:val="nil"/>
              <w:right w:val="nil"/>
            </w:tcBorders>
            <w:tcMar>
              <w:top w:w="0" w:type="dxa"/>
              <w:left w:w="62" w:type="dxa"/>
              <w:bottom w:w="0" w:type="dxa"/>
              <w:right w:w="62" w:type="dxa"/>
            </w:tcMar>
          </w:tcPr>
          <w:p w:rsidR="00000000" w:rsidP="00BD52E6">
            <w:pPr>
              <w:pStyle w:val="BodyText"/>
              <w:rPr>
                <w:lang w:val="en-NZ"/>
              </w:rPr>
            </w:pPr>
            <w:r w:rsidRPr="00BD52E6">
              <w:t>Generate a comprehensive list of risks that could affect the achievement of the organisation’s objectives</w:t>
            </w:r>
          </w:p>
        </w:tc>
      </w:tr>
      <w:tr w:rsidTr="00BD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52E6">
            <w:pPr>
              <w:pStyle w:val="BodyText"/>
              <w:rPr>
                <w:lang w:val="en-NZ"/>
              </w:rPr>
            </w:pPr>
            <w:r w:rsidRPr="00BD52E6">
              <w:t>1.5</w:t>
            </w:r>
          </w:p>
        </w:tc>
        <w:tc>
          <w:tcPr>
            <w:tcW w:w="5610" w:type="dxa"/>
            <w:tcBorders>
              <w:top w:val="nil"/>
              <w:left w:val="nil"/>
              <w:bottom w:val="nil"/>
              <w:right w:val="nil"/>
            </w:tcBorders>
            <w:tcMar>
              <w:top w:w="0" w:type="dxa"/>
              <w:left w:w="62" w:type="dxa"/>
              <w:bottom w:w="0" w:type="dxa"/>
              <w:right w:w="62" w:type="dxa"/>
            </w:tcMar>
          </w:tcPr>
          <w:p w:rsidR="00000000" w:rsidP="00BD52E6">
            <w:pPr>
              <w:pStyle w:val="BodyText"/>
              <w:rPr>
                <w:lang w:val="en-NZ"/>
              </w:rPr>
            </w:pPr>
            <w:r w:rsidRPr="00BD52E6">
              <w:t>Establish or review risk management policies</w:t>
            </w:r>
          </w:p>
        </w:tc>
      </w:tr>
      <w:tr w:rsidTr="00BD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52E6">
            <w:pPr>
              <w:pStyle w:val="BodyText"/>
              <w:rPr>
                <w:lang w:val="en-NZ"/>
              </w:rPr>
            </w:pPr>
            <w:r w:rsidRPr="00BD52E6">
              <w:t>1.6</w:t>
            </w:r>
          </w:p>
        </w:tc>
        <w:tc>
          <w:tcPr>
            <w:tcW w:w="5610" w:type="dxa"/>
            <w:tcBorders>
              <w:top w:val="nil"/>
              <w:left w:val="nil"/>
              <w:bottom w:val="nil"/>
              <w:right w:val="nil"/>
            </w:tcBorders>
            <w:tcMar>
              <w:top w:w="0" w:type="dxa"/>
              <w:left w:w="62" w:type="dxa"/>
              <w:bottom w:w="0" w:type="dxa"/>
              <w:right w:w="62" w:type="dxa"/>
            </w:tcMar>
          </w:tcPr>
          <w:p w:rsidR="00000000" w:rsidP="00BD52E6">
            <w:pPr>
              <w:pStyle w:val="BodyText"/>
              <w:rPr>
                <w:lang w:val="en-NZ"/>
              </w:rPr>
            </w:pPr>
            <w:r w:rsidRPr="00BD52E6">
              <w:t>Evaluate the requirement for training/education for all groups and individuals</w:t>
            </w:r>
          </w:p>
        </w:tc>
      </w:tr>
      <w:tr w:rsidTr="00BD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52E6">
            <w:pPr>
              <w:pStyle w:val="BodyText"/>
              <w:rPr>
                <w:lang w:val="en-NZ"/>
              </w:rPr>
            </w:pPr>
            <w:r w:rsidRPr="00BD52E6">
              <w:t>1.7</w:t>
            </w:r>
          </w:p>
        </w:tc>
        <w:tc>
          <w:tcPr>
            <w:tcW w:w="5610" w:type="dxa"/>
            <w:tcBorders>
              <w:top w:val="nil"/>
              <w:left w:val="nil"/>
              <w:bottom w:val="nil"/>
              <w:right w:val="nil"/>
            </w:tcBorders>
            <w:tcMar>
              <w:top w:w="0" w:type="dxa"/>
              <w:left w:w="62" w:type="dxa"/>
              <w:bottom w:w="0" w:type="dxa"/>
              <w:right w:w="62" w:type="dxa"/>
            </w:tcMar>
          </w:tcPr>
          <w:p w:rsidR="00000000" w:rsidP="00BD52E6">
            <w:pPr>
              <w:pStyle w:val="BodyText"/>
              <w:rPr>
                <w:lang w:val="en-NZ"/>
              </w:rPr>
            </w:pPr>
            <w:r w:rsidRPr="00BD52E6">
              <w:t>Access external specialist assistance as required</w:t>
            </w:r>
          </w:p>
        </w:tc>
      </w:tr>
      <w:tr w:rsidTr="00BD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52E6">
            <w:pPr>
              <w:pStyle w:val="BodyText"/>
              <w:rPr>
                <w:lang w:val="en-NZ"/>
              </w:rPr>
            </w:pPr>
            <w:r w:rsidRPr="00BD52E6">
              <w:t>1.8</w:t>
            </w:r>
          </w:p>
        </w:tc>
        <w:tc>
          <w:tcPr>
            <w:tcW w:w="5610" w:type="dxa"/>
            <w:tcBorders>
              <w:top w:val="nil"/>
              <w:left w:val="nil"/>
              <w:bottom w:val="nil"/>
              <w:right w:val="nil"/>
            </w:tcBorders>
            <w:tcMar>
              <w:top w:w="0" w:type="dxa"/>
              <w:left w:w="62" w:type="dxa"/>
              <w:bottom w:w="0" w:type="dxa"/>
              <w:right w:w="62" w:type="dxa"/>
            </w:tcMar>
          </w:tcPr>
          <w:p w:rsidR="00000000" w:rsidP="00BD52E6">
            <w:pPr>
              <w:pStyle w:val="BodyText"/>
              <w:rPr>
                <w:lang w:val="en-NZ"/>
              </w:rPr>
            </w:pPr>
            <w:r w:rsidRPr="00BD52E6">
              <w:t>Establish appropriate risk assessment techniques</w:t>
            </w:r>
          </w:p>
        </w:tc>
      </w:tr>
      <w:tr w:rsidTr="00BD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52E6">
            <w:pPr>
              <w:pStyle w:val="BodyText"/>
              <w:rPr>
                <w:lang w:val="en-NZ"/>
              </w:rPr>
            </w:pPr>
            <w:r w:rsidRPr="00BD52E6">
              <w:t>1.9</w:t>
            </w:r>
          </w:p>
        </w:tc>
        <w:tc>
          <w:tcPr>
            <w:tcW w:w="5610" w:type="dxa"/>
            <w:tcBorders>
              <w:top w:val="nil"/>
              <w:left w:val="nil"/>
              <w:bottom w:val="nil"/>
              <w:right w:val="nil"/>
            </w:tcBorders>
            <w:tcMar>
              <w:top w:w="0" w:type="dxa"/>
              <w:left w:w="62" w:type="dxa"/>
              <w:bottom w:w="0" w:type="dxa"/>
              <w:right w:w="62" w:type="dxa"/>
            </w:tcMar>
          </w:tcPr>
          <w:p w:rsidR="00000000" w:rsidRPr="00BD52E6" w:rsidP="00BD52E6">
            <w:pPr>
              <w:pStyle w:val="BodyText"/>
            </w:pPr>
            <w:r w:rsidRPr="00BD52E6">
              <w:t>Consult stakeholders in the development of the plan</w:t>
            </w:r>
          </w:p>
        </w:tc>
      </w:tr>
    </w:tbl>
    <w:p w:rsidR="00000000" w:rsidRPr="00BD52E6" w:rsidP="00BD52E6">
      <w:pPr>
        <w:pStyle w:val="BodyText"/>
      </w:pPr>
    </w:p>
    <w:tbl>
      <w:tblPr>
        <w:tblW w:w="0" w:type="auto"/>
        <w:tblLayout w:type="fixed"/>
        <w:tblCellMar>
          <w:left w:w="62" w:type="dxa"/>
          <w:right w:w="62" w:type="dxa"/>
        </w:tblCellMar>
        <w:tblLook w:val="0000"/>
      </w:tblPr>
      <w:tblGrid>
        <w:gridCol w:w="678"/>
        <w:gridCol w:w="1962"/>
        <w:gridCol w:w="770"/>
        <w:gridCol w:w="5610"/>
      </w:tblGrid>
      <w:tr w:rsidTr="00BD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D52E6">
            <w:pPr>
              <w:pStyle w:val="BodyText"/>
              <w:rPr>
                <w:lang w:val="en-NZ"/>
              </w:rPr>
            </w:pPr>
            <w:r w:rsidRPr="00BD52E6">
              <w:t>2</w:t>
            </w:r>
          </w:p>
        </w:tc>
        <w:tc>
          <w:tcPr>
            <w:tcW w:w="1962" w:type="dxa"/>
            <w:vMerge w:val="restart"/>
            <w:tcBorders>
              <w:top w:val="nil"/>
              <w:left w:val="nil"/>
              <w:bottom w:val="nil"/>
              <w:right w:val="nil"/>
            </w:tcBorders>
            <w:tcMar>
              <w:top w:w="0" w:type="dxa"/>
              <w:left w:w="62" w:type="dxa"/>
              <w:bottom w:w="0" w:type="dxa"/>
              <w:right w:w="62" w:type="dxa"/>
            </w:tcMar>
          </w:tcPr>
          <w:p w:rsidR="00000000" w:rsidP="00BD52E6">
            <w:pPr>
              <w:pStyle w:val="BodyText"/>
              <w:rPr>
                <w:lang w:val="en-NZ"/>
              </w:rPr>
            </w:pPr>
            <w:r w:rsidRPr="00BD52E6">
              <w:t>Implement risk management plan</w:t>
            </w:r>
          </w:p>
        </w:tc>
        <w:tc>
          <w:tcPr>
            <w:tcW w:w="770" w:type="dxa"/>
            <w:tcBorders>
              <w:top w:val="nil"/>
              <w:left w:val="nil"/>
              <w:bottom w:val="nil"/>
              <w:right w:val="nil"/>
            </w:tcBorders>
            <w:tcMar>
              <w:top w:w="0" w:type="dxa"/>
              <w:left w:w="62" w:type="dxa"/>
              <w:bottom w:w="0" w:type="dxa"/>
              <w:right w:w="62" w:type="dxa"/>
            </w:tcMar>
          </w:tcPr>
          <w:p w:rsidR="00000000" w:rsidP="00BD52E6">
            <w:pPr>
              <w:pStyle w:val="BodyText"/>
              <w:rPr>
                <w:lang w:val="en-NZ"/>
              </w:rPr>
            </w:pPr>
            <w:r w:rsidRPr="00BD52E6">
              <w:t>2.1</w:t>
            </w:r>
          </w:p>
        </w:tc>
        <w:tc>
          <w:tcPr>
            <w:tcW w:w="5610" w:type="dxa"/>
            <w:tcBorders>
              <w:top w:val="nil"/>
              <w:left w:val="nil"/>
              <w:bottom w:val="nil"/>
              <w:right w:val="nil"/>
            </w:tcBorders>
            <w:tcMar>
              <w:top w:w="0" w:type="dxa"/>
              <w:left w:w="62" w:type="dxa"/>
              <w:bottom w:w="0" w:type="dxa"/>
              <w:right w:w="62" w:type="dxa"/>
            </w:tcMar>
          </w:tcPr>
          <w:p w:rsidR="00000000" w:rsidP="00BD52E6">
            <w:pPr>
              <w:pStyle w:val="BodyText"/>
              <w:rPr>
                <w:lang w:val="en-NZ"/>
              </w:rPr>
            </w:pPr>
            <w:r w:rsidRPr="00BD52E6">
              <w:t>Define, in consultation with stakeholders, the crite</w:t>
            </w:r>
            <w:r w:rsidRPr="00BD52E6">
              <w:t>ria used to evaluate the significance of risk</w:t>
            </w:r>
          </w:p>
        </w:tc>
      </w:tr>
      <w:tr w:rsidTr="00BD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52E6">
            <w:pPr>
              <w:pStyle w:val="BodyText"/>
              <w:rPr>
                <w:lang w:val="en-NZ"/>
              </w:rPr>
            </w:pPr>
            <w:r w:rsidRPr="00BD52E6">
              <w:t>2.2</w:t>
            </w:r>
          </w:p>
        </w:tc>
        <w:tc>
          <w:tcPr>
            <w:tcW w:w="5610" w:type="dxa"/>
            <w:tcBorders>
              <w:top w:val="nil"/>
              <w:left w:val="nil"/>
              <w:bottom w:val="nil"/>
              <w:right w:val="nil"/>
            </w:tcBorders>
            <w:tcMar>
              <w:top w:w="0" w:type="dxa"/>
              <w:left w:w="62" w:type="dxa"/>
              <w:bottom w:w="0" w:type="dxa"/>
              <w:right w:w="62" w:type="dxa"/>
            </w:tcMar>
          </w:tcPr>
          <w:p w:rsidR="00000000" w:rsidP="00BD52E6">
            <w:pPr>
              <w:pStyle w:val="BodyText"/>
              <w:rPr>
                <w:lang w:val="en-NZ"/>
              </w:rPr>
            </w:pPr>
            <w:r w:rsidRPr="00BD52E6">
              <w:t>Evaluate and prioritise risks for treatment</w:t>
            </w:r>
          </w:p>
        </w:tc>
      </w:tr>
      <w:tr w:rsidTr="00BD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52E6">
            <w:pPr>
              <w:pStyle w:val="BodyText"/>
              <w:rPr>
                <w:lang w:val="en-NZ"/>
              </w:rPr>
            </w:pPr>
            <w:r w:rsidRPr="00BD52E6">
              <w:t>2.3</w:t>
            </w:r>
          </w:p>
        </w:tc>
        <w:tc>
          <w:tcPr>
            <w:tcW w:w="5610" w:type="dxa"/>
            <w:tcBorders>
              <w:top w:val="nil"/>
              <w:left w:val="nil"/>
              <w:bottom w:val="nil"/>
              <w:right w:val="nil"/>
            </w:tcBorders>
            <w:tcMar>
              <w:top w:w="0" w:type="dxa"/>
              <w:left w:w="62" w:type="dxa"/>
              <w:bottom w:w="0" w:type="dxa"/>
              <w:right w:w="62" w:type="dxa"/>
            </w:tcMar>
          </w:tcPr>
          <w:p w:rsidR="00000000" w:rsidP="00BD52E6">
            <w:pPr>
              <w:pStyle w:val="BodyText"/>
              <w:rPr>
                <w:lang w:val="en-NZ"/>
              </w:rPr>
            </w:pPr>
            <w:r w:rsidRPr="00BD52E6">
              <w:t>Determine and select the most appropriate options for treating risks</w:t>
            </w:r>
          </w:p>
        </w:tc>
      </w:tr>
      <w:tr w:rsidTr="00BD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52E6">
            <w:pPr>
              <w:pStyle w:val="BodyText"/>
              <w:rPr>
                <w:lang w:val="en-NZ"/>
              </w:rPr>
            </w:pPr>
            <w:r w:rsidRPr="00BD52E6">
              <w:t>2.4</w:t>
            </w:r>
          </w:p>
        </w:tc>
        <w:tc>
          <w:tcPr>
            <w:tcW w:w="5610" w:type="dxa"/>
            <w:tcBorders>
              <w:top w:val="nil"/>
              <w:left w:val="nil"/>
              <w:bottom w:val="nil"/>
              <w:right w:val="nil"/>
            </w:tcBorders>
            <w:tcMar>
              <w:top w:w="0" w:type="dxa"/>
              <w:left w:w="62" w:type="dxa"/>
              <w:bottom w:w="0" w:type="dxa"/>
              <w:right w:w="62" w:type="dxa"/>
            </w:tcMar>
          </w:tcPr>
          <w:p w:rsidR="00000000" w:rsidP="00BD52E6">
            <w:pPr>
              <w:pStyle w:val="BodyText"/>
              <w:rPr>
                <w:lang w:val="en-NZ"/>
              </w:rPr>
            </w:pPr>
            <w:r w:rsidRPr="00BD52E6">
              <w:t>Implement and monitor risk treatment plan</w:t>
            </w:r>
          </w:p>
        </w:tc>
      </w:tr>
      <w:tr w:rsidTr="00BD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52E6">
            <w:pPr>
              <w:pStyle w:val="BodyText"/>
              <w:rPr>
                <w:lang w:val="en-NZ"/>
              </w:rPr>
            </w:pPr>
            <w:r w:rsidRPr="00BD52E6">
              <w:t>2.5</w:t>
            </w:r>
          </w:p>
        </w:tc>
        <w:tc>
          <w:tcPr>
            <w:tcW w:w="5610" w:type="dxa"/>
            <w:tcBorders>
              <w:top w:val="nil"/>
              <w:left w:val="nil"/>
              <w:bottom w:val="nil"/>
              <w:right w:val="nil"/>
            </w:tcBorders>
            <w:tcMar>
              <w:top w:w="0" w:type="dxa"/>
              <w:left w:w="62" w:type="dxa"/>
              <w:bottom w:w="0" w:type="dxa"/>
              <w:right w:w="62" w:type="dxa"/>
            </w:tcMar>
          </w:tcPr>
          <w:p w:rsidR="00000000" w:rsidRPr="00BD52E6" w:rsidP="00BD52E6">
            <w:pPr>
              <w:pStyle w:val="BodyText"/>
            </w:pPr>
            <w:r w:rsidRPr="00BD52E6">
              <w:t>Document strategies for risk treatment options</w:t>
            </w:r>
          </w:p>
        </w:tc>
      </w:tr>
    </w:tbl>
    <w:p w:rsidR="00000000" w:rsidRPr="00BD52E6" w:rsidP="00BD52E6">
      <w:pPr>
        <w:pStyle w:val="BodyText"/>
      </w:pPr>
    </w:p>
    <w:tbl>
      <w:tblPr>
        <w:tblW w:w="0" w:type="auto"/>
        <w:tblLayout w:type="fixed"/>
        <w:tblCellMar>
          <w:left w:w="62" w:type="dxa"/>
          <w:right w:w="62" w:type="dxa"/>
        </w:tblCellMar>
        <w:tblLook w:val="0000"/>
      </w:tblPr>
      <w:tblGrid>
        <w:gridCol w:w="678"/>
        <w:gridCol w:w="1962"/>
        <w:gridCol w:w="770"/>
        <w:gridCol w:w="5610"/>
      </w:tblGrid>
      <w:tr w:rsidTr="00BD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D52E6">
            <w:pPr>
              <w:pStyle w:val="BodyText"/>
              <w:rPr>
                <w:lang w:val="en-NZ"/>
              </w:rPr>
            </w:pPr>
            <w:r w:rsidRPr="00BD52E6">
              <w:t>3</w:t>
            </w:r>
          </w:p>
        </w:tc>
        <w:tc>
          <w:tcPr>
            <w:tcW w:w="1962" w:type="dxa"/>
            <w:vMerge w:val="restart"/>
            <w:tcBorders>
              <w:top w:val="nil"/>
              <w:left w:val="nil"/>
              <w:bottom w:val="nil"/>
              <w:right w:val="nil"/>
            </w:tcBorders>
            <w:tcMar>
              <w:top w:w="0" w:type="dxa"/>
              <w:left w:w="62" w:type="dxa"/>
              <w:bottom w:w="0" w:type="dxa"/>
              <w:right w:w="62" w:type="dxa"/>
            </w:tcMar>
          </w:tcPr>
          <w:p w:rsidR="00000000" w:rsidP="00BD52E6">
            <w:pPr>
              <w:pStyle w:val="BodyText"/>
              <w:rPr>
                <w:lang w:val="en-NZ"/>
              </w:rPr>
            </w:pPr>
            <w:r w:rsidRPr="00BD52E6">
              <w:t xml:space="preserve">Evaluate risk </w:t>
            </w:r>
            <w:r w:rsidRPr="00BD52E6">
              <w:t>management plan</w:t>
            </w:r>
          </w:p>
        </w:tc>
        <w:tc>
          <w:tcPr>
            <w:tcW w:w="770" w:type="dxa"/>
            <w:tcBorders>
              <w:top w:val="nil"/>
              <w:left w:val="nil"/>
              <w:bottom w:val="nil"/>
              <w:right w:val="nil"/>
            </w:tcBorders>
            <w:tcMar>
              <w:top w:w="0" w:type="dxa"/>
              <w:left w:w="62" w:type="dxa"/>
              <w:bottom w:w="0" w:type="dxa"/>
              <w:right w:w="62" w:type="dxa"/>
            </w:tcMar>
          </w:tcPr>
          <w:p w:rsidR="00000000" w:rsidP="00BD52E6">
            <w:pPr>
              <w:pStyle w:val="BodyText"/>
              <w:rPr>
                <w:lang w:val="en-NZ"/>
              </w:rPr>
            </w:pPr>
            <w:r w:rsidRPr="00BD52E6">
              <w:t>3.1</w:t>
            </w:r>
          </w:p>
        </w:tc>
        <w:tc>
          <w:tcPr>
            <w:tcW w:w="5610" w:type="dxa"/>
            <w:tcBorders>
              <w:top w:val="nil"/>
              <w:left w:val="nil"/>
              <w:bottom w:val="nil"/>
              <w:right w:val="nil"/>
            </w:tcBorders>
            <w:tcMar>
              <w:top w:w="0" w:type="dxa"/>
              <w:left w:w="62" w:type="dxa"/>
              <w:bottom w:w="0" w:type="dxa"/>
              <w:right w:w="62" w:type="dxa"/>
            </w:tcMar>
          </w:tcPr>
          <w:p w:rsidR="00000000" w:rsidP="00BD52E6">
            <w:pPr>
              <w:pStyle w:val="BodyText"/>
              <w:rPr>
                <w:lang w:val="en-NZ"/>
              </w:rPr>
            </w:pPr>
            <w:r w:rsidRPr="00BD52E6">
              <w:t xml:space="preserve">Establish procedures to regularly review risk </w:t>
            </w:r>
            <w:r w:rsidRPr="00BD52E6">
              <w:t>management activities</w:t>
            </w:r>
          </w:p>
        </w:tc>
      </w:tr>
      <w:tr w:rsidTr="00BD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52E6">
            <w:pPr>
              <w:pStyle w:val="BodyText"/>
              <w:rPr>
                <w:lang w:val="en-NZ"/>
              </w:rPr>
            </w:pPr>
            <w:r w:rsidRPr="00BD52E6">
              <w:t>3.2</w:t>
            </w:r>
          </w:p>
        </w:tc>
        <w:tc>
          <w:tcPr>
            <w:tcW w:w="5610" w:type="dxa"/>
            <w:tcBorders>
              <w:top w:val="nil"/>
              <w:left w:val="nil"/>
              <w:bottom w:val="nil"/>
              <w:right w:val="nil"/>
            </w:tcBorders>
            <w:tcMar>
              <w:top w:w="0" w:type="dxa"/>
              <w:left w:w="62" w:type="dxa"/>
              <w:bottom w:w="0" w:type="dxa"/>
              <w:right w:w="62" w:type="dxa"/>
            </w:tcMar>
          </w:tcPr>
          <w:p w:rsidR="00000000" w:rsidP="00BD52E6">
            <w:pPr>
              <w:pStyle w:val="BodyText"/>
              <w:rPr>
                <w:lang w:val="en-NZ"/>
              </w:rPr>
            </w:pPr>
            <w:r w:rsidRPr="00BD52E6">
              <w:t>Ensure stakeholders have input to the review</w:t>
            </w:r>
          </w:p>
        </w:tc>
      </w:tr>
      <w:tr w:rsidTr="00BD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52E6">
            <w:pPr>
              <w:pStyle w:val="BodyText"/>
              <w:rPr>
                <w:lang w:val="en-NZ"/>
              </w:rPr>
            </w:pPr>
            <w:r w:rsidRPr="00BD52E6">
              <w:t>3.3</w:t>
            </w:r>
          </w:p>
        </w:tc>
        <w:tc>
          <w:tcPr>
            <w:tcW w:w="5610" w:type="dxa"/>
            <w:tcBorders>
              <w:top w:val="nil"/>
              <w:left w:val="nil"/>
              <w:bottom w:val="nil"/>
              <w:right w:val="nil"/>
            </w:tcBorders>
            <w:tcMar>
              <w:top w:w="0" w:type="dxa"/>
              <w:left w:w="62" w:type="dxa"/>
              <w:bottom w:w="0" w:type="dxa"/>
              <w:right w:w="62" w:type="dxa"/>
            </w:tcMar>
          </w:tcPr>
          <w:p w:rsidR="00000000" w:rsidP="00BD52E6">
            <w:pPr>
              <w:pStyle w:val="BodyText"/>
              <w:rPr>
                <w:lang w:val="en-NZ"/>
              </w:rPr>
            </w:pPr>
            <w:r w:rsidRPr="00BD52E6">
              <w:t>Examine activities that do not achieve their objective/performance outcomes to determine cause</w:t>
            </w:r>
          </w:p>
        </w:tc>
      </w:tr>
      <w:tr w:rsidTr="00BD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52E6">
            <w:pPr>
              <w:pStyle w:val="BodyText"/>
              <w:rPr>
                <w:lang w:val="en-NZ"/>
              </w:rPr>
            </w:pPr>
            <w:r w:rsidRPr="00BD52E6">
              <w:t>3.4</w:t>
            </w:r>
          </w:p>
        </w:tc>
        <w:tc>
          <w:tcPr>
            <w:tcW w:w="5610" w:type="dxa"/>
            <w:tcBorders>
              <w:top w:val="nil"/>
              <w:left w:val="nil"/>
              <w:bottom w:val="nil"/>
              <w:right w:val="nil"/>
            </w:tcBorders>
            <w:tcMar>
              <w:top w:w="0" w:type="dxa"/>
              <w:left w:w="62" w:type="dxa"/>
              <w:bottom w:w="0" w:type="dxa"/>
              <w:right w:w="62" w:type="dxa"/>
            </w:tcMar>
          </w:tcPr>
          <w:p w:rsidR="00000000" w:rsidP="00BD52E6">
            <w:pPr>
              <w:pStyle w:val="BodyText"/>
              <w:rPr>
                <w:lang w:val="en-NZ"/>
              </w:rPr>
            </w:pPr>
            <w:r w:rsidRPr="00BD52E6">
              <w:t>Identify targets for improvement and update plan</w:t>
            </w:r>
          </w:p>
        </w:tc>
      </w:tr>
      <w:tr w:rsidTr="00BD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52E6">
            <w:pPr>
              <w:pStyle w:val="BodyText"/>
              <w:rPr>
                <w:lang w:val="en-NZ"/>
              </w:rPr>
            </w:pPr>
            <w:r w:rsidRPr="00BD52E6">
              <w:t>3.5</w:t>
            </w:r>
          </w:p>
        </w:tc>
        <w:tc>
          <w:tcPr>
            <w:tcW w:w="5610" w:type="dxa"/>
            <w:tcBorders>
              <w:top w:val="nil"/>
              <w:left w:val="nil"/>
              <w:bottom w:val="nil"/>
              <w:right w:val="nil"/>
            </w:tcBorders>
            <w:tcMar>
              <w:top w:w="0" w:type="dxa"/>
              <w:left w:w="62" w:type="dxa"/>
              <w:bottom w:w="0" w:type="dxa"/>
              <w:right w:w="62" w:type="dxa"/>
            </w:tcMar>
          </w:tcPr>
          <w:p w:rsidR="00000000" w:rsidRPr="00BD52E6" w:rsidP="00BD52E6">
            <w:pPr>
              <w:pStyle w:val="BodyText"/>
            </w:pPr>
            <w:r w:rsidRPr="00BD52E6">
              <w:t>Establish evaluation of risk management as a key component of all projects/activities</w:t>
            </w:r>
          </w:p>
        </w:tc>
      </w:tr>
    </w:tbl>
    <w:p w:rsidR="00000000" w:rsidRPr="00BD52E6" w:rsidP="00BD52E6">
      <w:pPr>
        <w:pStyle w:val="BodyText"/>
      </w:pPr>
    </w:p>
    <w:p w:rsidR="00000000" w:rsidRPr="00BD52E6" w:rsidP="00BD52E6">
      <w:pPr>
        <w:pStyle w:val="AllowPageBreak"/>
      </w:pPr>
    </w:p>
    <w:p w:rsidR="00000000" w:rsidRPr="00BD52E6" w:rsidP="00BD52E6">
      <w:pPr>
        <w:pStyle w:val="Heading1"/>
      </w:pPr>
      <w:bookmarkStart w:id="7" w:name="O_873448"/>
      <w:bookmarkEnd w:id="7"/>
      <w:r w:rsidRPr="00BD52E6">
        <w:t>Foundation Skills</w:t>
      </w:r>
    </w:p>
    <w:p w:rsidR="00000000" w:rsidRPr="00BD52E6" w:rsidP="00371B0E">
      <w:pPr>
        <w:pStyle w:val="BodyText"/>
      </w:pPr>
      <w:r w:rsidRPr="00BD52E6">
        <w:t>This section describes those language, literacy, numeracy and employment skills that are essential to performance.</w:t>
      </w:r>
    </w:p>
    <w:p w:rsidR="00000000" w:rsidRPr="00BD52E6" w:rsidP="00371B0E">
      <w:pPr>
        <w:pStyle w:val="BodyText"/>
      </w:pPr>
      <w:r w:rsidRPr="00BD52E6">
        <w:t>Foundation skills essential to performance are explicit in the performance criteria of this unit of competency.</w:t>
      </w:r>
    </w:p>
    <w:p w:rsidR="00000000" w:rsidRPr="00BD52E6" w:rsidP="00BD52E6">
      <w:pPr>
        <w:pStyle w:val="Heading1"/>
      </w:pPr>
      <w:bookmarkStart w:id="8" w:name="O_873447"/>
      <w:bookmarkEnd w:id="8"/>
      <w:r w:rsidRPr="00BD52E6">
        <w:t>Range of Conditions</w:t>
      </w:r>
    </w:p>
    <w:tbl>
      <w:tblPr>
        <w:tblW w:w="0" w:type="auto"/>
        <w:tblCellMar>
          <w:left w:w="62" w:type="dxa"/>
          <w:right w:w="62" w:type="dxa"/>
        </w:tblCellMar>
        <w:tblLook w:val="0000"/>
      </w:tblPr>
      <w:tblGrid>
        <w:gridCol w:w="2163"/>
        <w:gridCol w:w="7033"/>
      </w:tblGrid>
      <w:tr w:rsidTr="00371B0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D52E6">
            <w:pPr>
              <w:pStyle w:val="BodyText"/>
              <w:rPr>
                <w:lang w:val="en-NZ"/>
              </w:rPr>
            </w:pPr>
            <w:r w:rsidRPr="00BD52E6">
              <w:t xml:space="preserve">This field allows for different work environments and conditions that may affect performance. Essential operating conditions that may be present (depending on the work situation, needs of the candidate, accessibility of </w:t>
            </w:r>
            <w:r w:rsidRPr="00BD52E6">
              <w:t>the item, and local industry and regional contexts) are included.</w:t>
            </w:r>
          </w:p>
        </w:tc>
      </w:tr>
      <w:tr w:rsidTr="00371B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52E6">
            <w:pPr>
              <w:pStyle w:val="BodyText"/>
              <w:rPr>
                <w:lang w:val="en-NZ"/>
              </w:rPr>
            </w:pPr>
            <w:r w:rsidRPr="00BD52E6">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BD52E6" w:rsidP="00BD52E6">
            <w:pPr>
              <w:pStyle w:val="BodyText"/>
            </w:pPr>
            <w:r w:rsidRPr="00BD52E6">
              <w:t>The latest version of all legislation, regulations, industry codes of practice and Australian/international standards, or the version specified by the local regulatory</w:t>
            </w:r>
            <w:r w:rsidRPr="00BD52E6">
              <w:t xml:space="preserve"> authority, must be used, and include one or more of the following:</w:t>
            </w:r>
          </w:p>
          <w:p w:rsidR="00000000" w:rsidRPr="00BD52E6" w:rsidP="00BD52E6">
            <w:pPr>
              <w:pStyle w:val="ListBullet"/>
            </w:pPr>
            <w:r w:rsidRPr="00BD52E6">
              <w:t>legislative requirements, including work health and safety (WHS)</w:t>
            </w:r>
          </w:p>
          <w:p w:rsidR="00000000" w:rsidRPr="00BD52E6" w:rsidP="00BD52E6">
            <w:pPr>
              <w:pStyle w:val="ListBullet"/>
            </w:pPr>
            <w:r w:rsidRPr="00BD52E6">
              <w:t>industry codes of practice and guidelines</w:t>
            </w:r>
          </w:p>
          <w:p w:rsidR="00000000" w:rsidRPr="00BD52E6" w:rsidP="00BD52E6">
            <w:pPr>
              <w:pStyle w:val="ListBullet"/>
            </w:pPr>
            <w:r w:rsidRPr="00BD52E6">
              <w:t xml:space="preserve">environmental regulations and guidelines </w:t>
            </w:r>
          </w:p>
          <w:p w:rsidR="00000000" w:rsidRPr="00BD52E6" w:rsidP="00BD52E6">
            <w:pPr>
              <w:pStyle w:val="ListBullet"/>
            </w:pPr>
            <w:r w:rsidRPr="00BD52E6">
              <w:t>Australian and other standards</w:t>
            </w:r>
          </w:p>
          <w:p w:rsidR="00000000" w:rsidRPr="00BD52E6" w:rsidP="00BD52E6">
            <w:pPr>
              <w:pStyle w:val="ListBullet"/>
            </w:pPr>
            <w:r w:rsidRPr="00BD52E6">
              <w:t>licence</w:t>
            </w:r>
            <w:r w:rsidRPr="00BD52E6">
              <w:t xml:space="preserve"> and certification requirements</w:t>
            </w:r>
            <w:r w:rsidRPr="00BD52E6">
              <w:rPr>
                <w:rStyle w:val="Emphasis"/>
              </w:rPr>
              <w:t xml:space="preserve"> </w:t>
            </w:r>
          </w:p>
          <w:p w:rsidR="00000000" w:rsidRPr="00BD52E6" w:rsidP="00BD52E6">
            <w:pPr>
              <w:pStyle w:val="ListBullet"/>
            </w:pPr>
            <w:r w:rsidRPr="00BD52E6">
              <w:rPr>
                <w:rStyle w:val="Emphasis"/>
              </w:rPr>
              <w:t>AS/NZS ISO 31000:2009 Risk management - Principles and guidelines</w:t>
            </w:r>
          </w:p>
          <w:p w:rsidR="00000000" w:rsidRPr="00BD52E6" w:rsidP="00BD52E6">
            <w:pPr>
              <w:pStyle w:val="ListBullet"/>
            </w:pPr>
            <w:r w:rsidRPr="00BD52E6">
              <w:t>award and organisation agreements and relevant industrial instruments</w:t>
            </w:r>
          </w:p>
          <w:p w:rsidR="00000000" w:rsidRPr="00BD52E6" w:rsidP="00BD52E6">
            <w:pPr>
              <w:pStyle w:val="BodyText"/>
            </w:pPr>
          </w:p>
          <w:p w:rsidR="00000000" w:rsidRPr="00BD52E6" w:rsidP="00BD52E6">
            <w:pPr>
              <w:pStyle w:val="BodyText"/>
            </w:pPr>
            <w:r w:rsidRPr="00BD52E6">
              <w:t xml:space="preserve">All operations to which this unit applies are subject to stringent HSE requirements, which may be imposed through state or federal legislation, and these must not be compromised at any time. Where there is an apparent conflict between performance criteria </w:t>
            </w:r>
            <w:r w:rsidRPr="00BD52E6">
              <w:t>and HSE requirements, the HSE requirements take precedence.</w:t>
            </w:r>
          </w:p>
          <w:p w:rsidR="00000000" w:rsidP="00BD52E6">
            <w:pPr>
              <w:pStyle w:val="BodyText"/>
              <w:rPr>
                <w:lang w:val="en-NZ"/>
              </w:rPr>
            </w:pPr>
          </w:p>
        </w:tc>
      </w:tr>
      <w:tr w:rsidTr="00371B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52E6">
            <w:pPr>
              <w:pStyle w:val="BodyText"/>
              <w:rPr>
                <w:lang w:val="en-NZ"/>
              </w:rPr>
            </w:pPr>
            <w:r w:rsidRPr="00BD52E6">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BD52E6" w:rsidP="00BD52E6">
            <w:pPr>
              <w:pStyle w:val="BodyText"/>
            </w:pPr>
            <w:r w:rsidRPr="00BD52E6">
              <w:t>All operations must be performed in accordance with relevant procedures.</w:t>
            </w:r>
          </w:p>
          <w:p w:rsidR="00000000" w:rsidRPr="00BD52E6" w:rsidP="00BD52E6">
            <w:pPr>
              <w:pStyle w:val="BodyText"/>
            </w:pPr>
          </w:p>
          <w:p w:rsidR="00000000" w:rsidRPr="00BD52E6" w:rsidP="00BD52E6">
            <w:pPr>
              <w:pStyle w:val="BodyText"/>
            </w:pPr>
            <w:r w:rsidRPr="00BD52E6">
              <w:t xml:space="preserve">Procedures are written, verbal, visual, computer-based or in some other form, and include one or more of the </w:t>
            </w:r>
            <w:r w:rsidRPr="00BD52E6">
              <w:t>following:</w:t>
            </w:r>
          </w:p>
          <w:p w:rsidR="00000000" w:rsidRPr="00BD52E6" w:rsidP="00BD52E6">
            <w:pPr>
              <w:pStyle w:val="ListBullet"/>
            </w:pPr>
            <w:r w:rsidRPr="00BD52E6">
              <w:t>emergency procedures</w:t>
            </w:r>
          </w:p>
          <w:p w:rsidR="00000000" w:rsidRPr="00BD52E6" w:rsidP="00BD52E6">
            <w:pPr>
              <w:pStyle w:val="ListBullet"/>
            </w:pPr>
            <w:r w:rsidRPr="00BD52E6">
              <w:t>work instructions</w:t>
            </w:r>
          </w:p>
          <w:p w:rsidR="00000000" w:rsidRPr="00BD52E6" w:rsidP="00BD52E6">
            <w:pPr>
              <w:pStyle w:val="ListBullet"/>
            </w:pPr>
            <w:r w:rsidRPr="00BD52E6">
              <w:t>standard operating procedures (SOPs)</w:t>
            </w:r>
          </w:p>
          <w:p w:rsidR="00000000" w:rsidRPr="00BD52E6" w:rsidP="00BD52E6">
            <w:pPr>
              <w:pStyle w:val="ListBullet"/>
            </w:pPr>
            <w:r w:rsidRPr="00BD52E6">
              <w:t>safe work method statements (SWMS)</w:t>
            </w:r>
          </w:p>
          <w:p w:rsidR="00000000" w:rsidRPr="00BD52E6" w:rsidP="00BD52E6">
            <w:pPr>
              <w:pStyle w:val="ListBullet"/>
            </w:pPr>
            <w:r w:rsidRPr="00BD52E6">
              <w:t>formulas/recipes</w:t>
            </w:r>
          </w:p>
          <w:p w:rsidR="00000000" w:rsidRPr="00BD52E6" w:rsidP="00BD52E6">
            <w:pPr>
              <w:pStyle w:val="ListBullet"/>
            </w:pPr>
            <w:r w:rsidRPr="00BD52E6">
              <w:t>batch sheets</w:t>
            </w:r>
          </w:p>
          <w:p w:rsidR="00000000" w:rsidRPr="00BD52E6" w:rsidP="00BD52E6">
            <w:pPr>
              <w:pStyle w:val="ListBullet"/>
            </w:pPr>
            <w:r w:rsidRPr="00BD52E6">
              <w:t>temporary instructions</w:t>
            </w:r>
          </w:p>
          <w:p w:rsidR="00000000" w:rsidRPr="00BD52E6" w:rsidP="00BD52E6">
            <w:pPr>
              <w:pStyle w:val="ListBullet"/>
            </w:pPr>
            <w:r w:rsidRPr="00BD52E6">
              <w:t>any similar instructions provided for the smooth running of the plant</w:t>
            </w:r>
          </w:p>
          <w:p w:rsidR="00000000" w:rsidP="00BD52E6">
            <w:pPr>
              <w:pStyle w:val="BodyText"/>
              <w:rPr>
                <w:lang w:val="en-NZ"/>
              </w:rPr>
            </w:pPr>
          </w:p>
        </w:tc>
      </w:tr>
      <w:tr w:rsidTr="00371B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52E6">
            <w:pPr>
              <w:pStyle w:val="BodyText"/>
              <w:rPr>
                <w:lang w:val="en-NZ"/>
              </w:rPr>
            </w:pPr>
            <w:r w:rsidRPr="00BD52E6">
              <w:rPr>
                <w:rStyle w:val="SpecialBold"/>
              </w:rPr>
              <w:t>External specialist assistance</w:t>
            </w:r>
          </w:p>
        </w:tc>
        <w:tc>
          <w:tcPr>
            <w:tcW w:w="0" w:type="auto"/>
            <w:tcBorders>
              <w:top w:val="nil"/>
              <w:left w:val="nil"/>
              <w:bottom w:val="nil"/>
              <w:right w:val="nil"/>
            </w:tcBorders>
            <w:tcMar>
              <w:top w:w="0" w:type="dxa"/>
              <w:left w:w="62" w:type="dxa"/>
              <w:bottom w:w="0" w:type="dxa"/>
              <w:right w:w="62" w:type="dxa"/>
            </w:tcMar>
          </w:tcPr>
          <w:p w:rsidR="00000000" w:rsidRPr="00BD52E6" w:rsidP="00BD52E6">
            <w:pPr>
              <w:pStyle w:val="BodyText"/>
            </w:pPr>
            <w:r w:rsidRPr="00BD52E6">
              <w:t>External specialist assistance includes:</w:t>
            </w:r>
          </w:p>
          <w:p w:rsidR="00000000" w:rsidRPr="00BD52E6" w:rsidP="00BD52E6">
            <w:pPr>
              <w:pStyle w:val="ListBullet"/>
            </w:pPr>
            <w:r w:rsidRPr="00BD52E6">
              <w:t>any group or individual who has the expertise to assist the organisation to deal with any event/incident which may occur</w:t>
            </w:r>
          </w:p>
          <w:p w:rsidR="00000000" w:rsidP="00BD52E6">
            <w:pPr>
              <w:pStyle w:val="BodyText"/>
              <w:rPr>
                <w:lang w:val="en-NZ"/>
              </w:rPr>
            </w:pPr>
          </w:p>
        </w:tc>
      </w:tr>
      <w:tr w:rsidTr="00371B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52E6">
            <w:pPr>
              <w:pStyle w:val="BodyText"/>
              <w:rPr>
                <w:lang w:val="en-NZ"/>
              </w:rPr>
            </w:pPr>
            <w:r w:rsidRPr="00BD52E6">
              <w:rPr>
                <w:rStyle w:val="SpecialBold"/>
              </w:rPr>
              <w:t>Risk</w:t>
            </w:r>
          </w:p>
        </w:tc>
        <w:tc>
          <w:tcPr>
            <w:tcW w:w="0" w:type="auto"/>
            <w:tcBorders>
              <w:top w:val="nil"/>
              <w:left w:val="nil"/>
              <w:bottom w:val="nil"/>
              <w:right w:val="nil"/>
            </w:tcBorders>
            <w:tcMar>
              <w:top w:w="0" w:type="dxa"/>
              <w:left w:w="62" w:type="dxa"/>
              <w:bottom w:w="0" w:type="dxa"/>
              <w:right w:w="62" w:type="dxa"/>
            </w:tcMar>
          </w:tcPr>
          <w:p w:rsidR="00000000" w:rsidRPr="00BD52E6" w:rsidP="00BD52E6">
            <w:pPr>
              <w:pStyle w:val="BodyText"/>
            </w:pPr>
            <w:r w:rsidRPr="00BD52E6">
              <w:t>Risk includes one or more of the following:</w:t>
            </w:r>
          </w:p>
          <w:p w:rsidR="00000000" w:rsidRPr="00BD52E6" w:rsidP="00BD52E6">
            <w:pPr>
              <w:pStyle w:val="ListBullet"/>
            </w:pPr>
            <w:r w:rsidRPr="00BD52E6">
              <w:t xml:space="preserve">injury or </w:t>
            </w:r>
            <w:r w:rsidRPr="00BD52E6">
              <w:t>disease</w:t>
            </w:r>
          </w:p>
          <w:p w:rsidR="00000000" w:rsidRPr="00BD52E6" w:rsidP="00BD52E6">
            <w:pPr>
              <w:pStyle w:val="ListBullet"/>
            </w:pPr>
            <w:r w:rsidRPr="00BD52E6">
              <w:t>environmental factors</w:t>
            </w:r>
          </w:p>
          <w:p w:rsidR="00000000" w:rsidRPr="00BD52E6" w:rsidP="00BD52E6">
            <w:pPr>
              <w:pStyle w:val="ListBullet"/>
            </w:pPr>
            <w:r w:rsidRPr="00BD52E6">
              <w:t>product failure</w:t>
            </w:r>
          </w:p>
          <w:p w:rsidR="00000000" w:rsidRPr="00BD52E6" w:rsidP="00BD52E6">
            <w:pPr>
              <w:pStyle w:val="ListBullet"/>
            </w:pPr>
            <w:r w:rsidRPr="00BD52E6">
              <w:t>financial/economic loss/failure</w:t>
            </w:r>
          </w:p>
          <w:p w:rsidR="00000000" w:rsidRPr="00BD52E6" w:rsidP="00BD52E6">
            <w:pPr>
              <w:pStyle w:val="ListBullet"/>
            </w:pPr>
            <w:r w:rsidRPr="00BD52E6">
              <w:t>damage to property/plant/equipment</w:t>
            </w:r>
          </w:p>
          <w:p w:rsidR="00000000" w:rsidRPr="00BD52E6" w:rsidP="00BD52E6">
            <w:pPr>
              <w:pStyle w:val="ListBullet"/>
            </w:pPr>
            <w:r w:rsidRPr="00BD52E6">
              <w:t>industrial disputes</w:t>
            </w:r>
          </w:p>
          <w:p w:rsidR="00000000" w:rsidRPr="00BD52E6" w:rsidP="00BD52E6">
            <w:pPr>
              <w:pStyle w:val="ListBullet"/>
            </w:pPr>
            <w:r w:rsidRPr="00BD52E6">
              <w:t>professional incompetence</w:t>
            </w:r>
          </w:p>
          <w:p w:rsidR="00000000" w:rsidRPr="00BD52E6" w:rsidP="00BD52E6">
            <w:pPr>
              <w:pStyle w:val="ListBullet"/>
            </w:pPr>
            <w:r w:rsidRPr="00BD52E6">
              <w:t>natural disasters</w:t>
            </w:r>
          </w:p>
          <w:p w:rsidR="00000000" w:rsidRPr="00BD52E6" w:rsidP="00BD52E6">
            <w:pPr>
              <w:pStyle w:val="ListBullet"/>
            </w:pPr>
            <w:r w:rsidRPr="00BD52E6">
              <w:t>security failure, including criminal or terrorist activities</w:t>
            </w:r>
          </w:p>
          <w:p w:rsidR="00000000" w:rsidRPr="00BD52E6" w:rsidP="00BD52E6">
            <w:pPr>
              <w:pStyle w:val="ListBullet"/>
            </w:pPr>
            <w:r w:rsidRPr="00BD52E6">
              <w:t>equipment/system failures</w:t>
            </w:r>
          </w:p>
          <w:p w:rsidR="00000000" w:rsidRPr="00BD52E6" w:rsidP="00BD52E6">
            <w:pPr>
              <w:pStyle w:val="ListBullet"/>
            </w:pPr>
            <w:r w:rsidRPr="00BD52E6">
              <w:t>political events</w:t>
            </w:r>
          </w:p>
        </w:tc>
      </w:tr>
    </w:tbl>
    <w:p w:rsidR="00000000" w:rsidRPr="00BD52E6" w:rsidP="00BD52E6">
      <w:pPr>
        <w:pStyle w:val="BodyText"/>
      </w:pPr>
    </w:p>
    <w:p w:rsidR="00000000" w:rsidRPr="00BD52E6" w:rsidP="00BD52E6">
      <w:pPr>
        <w:pStyle w:val="AllowPageBreak"/>
      </w:pPr>
    </w:p>
    <w:p w:rsidR="00000000" w:rsidRPr="00BD52E6" w:rsidP="00BD52E6">
      <w:pPr>
        <w:pStyle w:val="Heading1"/>
      </w:pPr>
      <w:bookmarkStart w:id="9" w:name="O_873446"/>
      <w:bookmarkEnd w:id="9"/>
      <w:r w:rsidRPr="00BD52E6">
        <w:t>Unit Mapping Information</w:t>
      </w:r>
    </w:p>
    <w:p w:rsidR="00000000" w:rsidRPr="00BD52E6" w:rsidP="00371B0E">
      <w:pPr>
        <w:pStyle w:val="BodyText"/>
      </w:pPr>
      <w:r w:rsidRPr="00BD52E6">
        <w:t>Release 1. Supersedes and is equivalent to MSAPMOHS510A Manage risk</w:t>
      </w:r>
    </w:p>
    <w:p w:rsidR="00000000" w:rsidRPr="00BD52E6" w:rsidP="00BD52E6">
      <w:pPr>
        <w:pStyle w:val="Heading1"/>
      </w:pPr>
      <w:bookmarkStart w:id="10" w:name="O_873439"/>
      <w:bookmarkEnd w:id="10"/>
      <w:r w:rsidRPr="00BD52E6">
        <w:t>Links</w:t>
      </w:r>
    </w:p>
    <w:p w:rsidR="00000000" w:rsidRPr="00BD52E6" w:rsidP="00371B0E">
      <w:pPr>
        <w:pStyle w:val="BodyText"/>
      </w:pPr>
      <w:r w:rsidRPr="00BD52E6">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9B0254">
        <w:rPr>
          <w:rStyle w:val="Hyperlink"/>
        </w:rPr>
        <w:t>https://vetnet.gov.au/Pages/TrainingDocs.aspx?q=d1287d36-dff4-4e9f-ad2c-9d6270054027</w:t>
      </w:r>
      <w:r>
        <w:fldChar w:fldCharType="end"/>
      </w:r>
    </w:p>
    <w:p w:rsidR="00000000" w:rsidRPr="00BD52E6" w:rsidP="00BD52E6"/>
    <w:sectPr w:rsidSect="00BD52E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2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2E6" w:rsidRPr="00371B0E" w:rsidP="00371B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2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B0E" w:rsidP="00BD52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71B0E" w:rsidP="00BD52E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71B0E" w:rsidP="00BD52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2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B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52E6" w:rsidRPr="00371B0E" w:rsidP="00371B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2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B0E" w:rsidRPr="002D2AF8" w:rsidP="00BD52E6">
    <w:pPr>
      <w:pStyle w:val="Header"/>
      <w:framePr w:wrap="around"/>
    </w:pPr>
    <w:r>
      <w:fldChar w:fldCharType="begin"/>
    </w:r>
    <w:r>
      <w:instrText xml:space="preserve"> TITLE   \* MERGEFORMAT </w:instrText>
    </w:r>
    <w:r>
      <w:fldChar w:fldCharType="separate"/>
    </w:r>
    <w:r>
      <w:t>MSMWHS510 Manage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371B0E" w:rsidP="00BD52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C1859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8C45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2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52E6"/>
    <w:pPr>
      <w:spacing w:before="360" w:after="60"/>
      <w:outlineLvl w:val="0"/>
    </w:pPr>
    <w:rPr>
      <w:sz w:val="32"/>
    </w:rPr>
  </w:style>
  <w:style w:type="paragraph" w:styleId="Heading2">
    <w:name w:val="heading 2"/>
    <w:basedOn w:val="HeadingBase"/>
    <w:next w:val="BodyText"/>
    <w:link w:val="Heading2Char"/>
    <w:qFormat/>
    <w:rsid w:val="00BD52E6"/>
    <w:pPr>
      <w:keepLines/>
      <w:spacing w:before="240" w:after="120"/>
      <w:outlineLvl w:val="1"/>
    </w:pPr>
    <w:rPr>
      <w:sz w:val="28"/>
      <w:szCs w:val="40"/>
    </w:rPr>
  </w:style>
  <w:style w:type="paragraph" w:styleId="Heading3">
    <w:name w:val="heading 3"/>
    <w:basedOn w:val="HeadingBase"/>
    <w:next w:val="BodyText"/>
    <w:link w:val="Heading3Char"/>
    <w:qFormat/>
    <w:rsid w:val="00BD52E6"/>
    <w:pPr>
      <w:spacing w:before="180" w:after="120"/>
      <w:outlineLvl w:val="2"/>
    </w:pPr>
    <w:rPr>
      <w:spacing w:val="-10"/>
      <w:kern w:val="32"/>
    </w:rPr>
  </w:style>
  <w:style w:type="paragraph" w:styleId="Heading4">
    <w:name w:val="heading 4"/>
    <w:basedOn w:val="HeadingBase"/>
    <w:next w:val="BodyText"/>
    <w:link w:val="Heading4Char"/>
    <w:qFormat/>
    <w:rsid w:val="00BD52E6"/>
    <w:pPr>
      <w:spacing w:before="160" w:after="120"/>
      <w:outlineLvl w:val="3"/>
    </w:pPr>
    <w:rPr>
      <w:sz w:val="22"/>
    </w:rPr>
  </w:style>
  <w:style w:type="paragraph" w:styleId="Heading5">
    <w:name w:val="heading 5"/>
    <w:basedOn w:val="HeadingBase"/>
    <w:next w:val="Normal"/>
    <w:link w:val="Heading5Char"/>
    <w:qFormat/>
    <w:rsid w:val="00BD52E6"/>
    <w:pPr>
      <w:spacing w:before="80"/>
      <w:outlineLvl w:val="4"/>
    </w:pPr>
    <w:rPr>
      <w:color w:val="918585"/>
      <w:sz w:val="20"/>
    </w:rPr>
  </w:style>
  <w:style w:type="paragraph" w:styleId="Heading6">
    <w:name w:val="heading 6"/>
    <w:basedOn w:val="HeadingBase"/>
    <w:next w:val="Normal"/>
    <w:link w:val="Heading6Char"/>
    <w:qFormat/>
    <w:rsid w:val="00BD52E6"/>
    <w:pPr>
      <w:spacing w:before="60"/>
      <w:outlineLvl w:val="5"/>
    </w:pPr>
    <w:rPr>
      <w:color w:val="918585"/>
      <w:sz w:val="20"/>
    </w:rPr>
  </w:style>
  <w:style w:type="paragraph" w:styleId="Heading7">
    <w:name w:val="heading 7"/>
    <w:basedOn w:val="Normal"/>
    <w:next w:val="Normal"/>
    <w:link w:val="Heading7Char"/>
    <w:qFormat/>
    <w:rsid w:val="00BD52E6"/>
    <w:pPr>
      <w:ind w:left="720"/>
      <w:outlineLvl w:val="6"/>
    </w:pPr>
    <w:rPr>
      <w:i/>
    </w:rPr>
  </w:style>
  <w:style w:type="paragraph" w:styleId="Heading8">
    <w:name w:val="heading 8"/>
    <w:basedOn w:val="Normal"/>
    <w:next w:val="Normal"/>
    <w:link w:val="Heading8Char"/>
    <w:qFormat/>
    <w:rsid w:val="00BD52E6"/>
    <w:pPr>
      <w:ind w:left="720"/>
      <w:outlineLvl w:val="7"/>
    </w:pPr>
    <w:rPr>
      <w:i/>
    </w:rPr>
  </w:style>
  <w:style w:type="paragraph" w:styleId="Heading9">
    <w:name w:val="heading 9"/>
    <w:basedOn w:val="Normal"/>
    <w:next w:val="Normal"/>
    <w:link w:val="Heading9Char"/>
    <w:qFormat/>
    <w:rsid w:val="00BD52E6"/>
    <w:pPr>
      <w:ind w:left="720"/>
      <w:outlineLvl w:val="8"/>
    </w:pPr>
    <w:rPr>
      <w:i/>
    </w:rPr>
  </w:style>
  <w:style w:type="character" w:default="1" w:styleId="DefaultParagraphFont">
    <w:name w:val="Default Paragraph Font"/>
    <w:uiPriority w:val="1"/>
    <w:unhideWhenUsed/>
    <w:rsid w:val="00BD52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52E6"/>
  </w:style>
  <w:style w:type="character" w:customStyle="1" w:styleId="Heading1Char">
    <w:name w:val="Heading 1 Char"/>
    <w:basedOn w:val="DefaultParagraphFont"/>
    <w:link w:val="Heading1"/>
    <w:rsid w:val="00BD52E6"/>
    <w:rPr>
      <w:rFonts w:ascii="Times New Roman" w:eastAsia="Times New Roman" w:hAnsi="Times New Roman" w:cs="Times New Roman"/>
      <w:b/>
      <w:sz w:val="32"/>
      <w:szCs w:val="20"/>
      <w:lang w:eastAsia="en-US"/>
    </w:rPr>
  </w:style>
  <w:style w:type="paragraph" w:styleId="BodyText">
    <w:name w:val="Body Text"/>
    <w:basedOn w:val="Normal"/>
    <w:link w:val="BodyTextChar"/>
    <w:rsid w:val="00BD52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52E6"/>
    <w:rPr>
      <w:rFonts w:ascii="Times New Roman" w:eastAsia="Times New Roman" w:hAnsi="Times New Roman" w:cs="Times New Roman"/>
      <w:sz w:val="24"/>
      <w:lang w:eastAsia="en-US"/>
    </w:rPr>
  </w:style>
  <w:style w:type="paragraph" w:styleId="ListBullet">
    <w:name w:val="List Bullet"/>
    <w:basedOn w:val="List"/>
    <w:rsid w:val="00BD52E6"/>
    <w:pPr>
      <w:numPr>
        <w:numId w:val="11"/>
      </w:numPr>
      <w:tabs>
        <w:tab w:val="clear" w:pos="340"/>
      </w:tabs>
      <w:spacing w:before="40" w:after="40"/>
    </w:pPr>
  </w:style>
  <w:style w:type="character" w:customStyle="1" w:styleId="SpecialBold">
    <w:name w:val="Special Bold"/>
    <w:basedOn w:val="DefaultParagraphFont"/>
    <w:rsid w:val="00BD52E6"/>
    <w:rPr>
      <w:b/>
      <w:spacing w:val="0"/>
    </w:rPr>
  </w:style>
  <w:style w:type="character" w:styleId="Emphasis">
    <w:name w:val="Emphasis"/>
    <w:basedOn w:val="DefaultParagraphFont"/>
    <w:qFormat/>
    <w:rsid w:val="00BD52E6"/>
    <w:rPr>
      <w:i/>
    </w:rPr>
  </w:style>
  <w:style w:type="paragraph" w:customStyle="1" w:styleId="SuperHeading">
    <w:name w:val="SuperHeading"/>
    <w:basedOn w:val="Normal"/>
    <w:rsid w:val="00BD52E6"/>
    <w:pPr>
      <w:spacing w:before="240" w:after="120"/>
      <w:outlineLvl w:val="0"/>
    </w:pPr>
    <w:rPr>
      <w:rFonts w:ascii="Times New Roman" w:hAnsi="Times New Roman"/>
      <w:b/>
      <w:sz w:val="32"/>
    </w:rPr>
  </w:style>
  <w:style w:type="paragraph" w:customStyle="1" w:styleId="AllowPageBreak">
    <w:name w:val="AllowPageBreak"/>
    <w:rsid w:val="00BD52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52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52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52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52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52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52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52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52E6"/>
    <w:rPr>
      <w:rFonts w:ascii="Courier New" w:eastAsia="Times New Roman" w:hAnsi="Courier New" w:cs="Times New Roman"/>
      <w:i/>
      <w:szCs w:val="20"/>
      <w:lang w:eastAsia="en-US"/>
    </w:rPr>
  </w:style>
  <w:style w:type="paragraph" w:customStyle="1" w:styleId="HeadingBase">
    <w:name w:val="Heading Base"/>
    <w:rsid w:val="00BD52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52E6"/>
    <w:pPr>
      <w:tabs>
        <w:tab w:val="right" w:leader="dot" w:pos="9072"/>
      </w:tabs>
      <w:ind w:left="567"/>
    </w:pPr>
    <w:rPr>
      <w:szCs w:val="22"/>
    </w:rPr>
  </w:style>
  <w:style w:type="paragraph" w:customStyle="1" w:styleId="TOCBase">
    <w:name w:val="TOC Base"/>
    <w:rsid w:val="00BD52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52E6"/>
    <w:pPr>
      <w:tabs>
        <w:tab w:val="right" w:leader="dot" w:pos="9072"/>
      </w:tabs>
      <w:spacing w:before="40" w:after="40"/>
      <w:ind w:left="284"/>
    </w:pPr>
    <w:rPr>
      <w:rFonts w:ascii="Times New Roman" w:hAnsi="Times New Roman"/>
    </w:rPr>
  </w:style>
  <w:style w:type="paragraph" w:styleId="TOC1">
    <w:name w:val="toc 1"/>
    <w:basedOn w:val="TOCBase"/>
    <w:next w:val="Normal"/>
    <w:rsid w:val="00BD52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52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52E6"/>
    <w:rPr>
      <w:rFonts w:ascii="Times New Roman" w:eastAsia="Times New Roman" w:hAnsi="Times New Roman" w:cs="Times New Roman"/>
      <w:sz w:val="16"/>
      <w:lang w:eastAsia="en-US"/>
    </w:rPr>
  </w:style>
  <w:style w:type="paragraph" w:styleId="Title">
    <w:name w:val="Title"/>
    <w:basedOn w:val="HeadingBase"/>
    <w:link w:val="TitleChar"/>
    <w:qFormat/>
    <w:rsid w:val="00BD52E6"/>
    <w:pPr>
      <w:spacing w:before="5040"/>
      <w:jc w:val="center"/>
    </w:pPr>
    <w:rPr>
      <w:sz w:val="48"/>
      <w:szCs w:val="72"/>
      <w:lang w:val="en-US"/>
    </w:rPr>
  </w:style>
  <w:style w:type="character" w:customStyle="1" w:styleId="TitleChar">
    <w:name w:val="Title Char"/>
    <w:basedOn w:val="DefaultParagraphFont"/>
    <w:link w:val="Title"/>
    <w:rsid w:val="00BD52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52E6"/>
    <w:pPr>
      <w:tabs>
        <w:tab w:val="left" w:pos="3600"/>
        <w:tab w:val="left" w:pos="3958"/>
      </w:tabs>
    </w:pPr>
  </w:style>
  <w:style w:type="paragraph" w:styleId="List">
    <w:name w:val="List"/>
    <w:basedOn w:val="BodyText"/>
    <w:next w:val="BodyText"/>
    <w:rsid w:val="00BD52E6"/>
    <w:pPr>
      <w:tabs>
        <w:tab w:val="left" w:pos="340"/>
      </w:tabs>
      <w:spacing w:before="60" w:after="60"/>
      <w:ind w:left="340" w:hanging="340"/>
    </w:pPr>
  </w:style>
  <w:style w:type="paragraph" w:customStyle="1" w:styleId="Note">
    <w:name w:val="Note"/>
    <w:basedOn w:val="BodyText"/>
    <w:rsid w:val="00BD52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52E6"/>
    <w:pPr>
      <w:framePr w:wrap="auto" w:hAnchor="text" w:y="6049"/>
    </w:pPr>
    <w:rPr>
      <w:color w:val="000000"/>
      <w:sz w:val="40"/>
    </w:rPr>
  </w:style>
  <w:style w:type="paragraph" w:customStyle="1" w:styleId="TOCTitle">
    <w:name w:val="TOCTitle"/>
    <w:basedOn w:val="Heading1"/>
    <w:rsid w:val="00BD52E6"/>
    <w:pPr>
      <w:spacing w:after="240"/>
      <w:jc w:val="center"/>
      <w:outlineLvl w:val="9"/>
    </w:pPr>
    <w:rPr>
      <w:caps/>
    </w:rPr>
  </w:style>
  <w:style w:type="paragraph" w:customStyle="1" w:styleId="Version">
    <w:name w:val="Version"/>
    <w:rsid w:val="00BD52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52E6"/>
    <w:pPr>
      <w:numPr>
        <w:numId w:val="12"/>
      </w:numPr>
      <w:tabs>
        <w:tab w:val="clear" w:pos="680"/>
      </w:tabs>
    </w:pPr>
  </w:style>
  <w:style w:type="paragraph" w:styleId="Index1">
    <w:name w:val="index 1"/>
    <w:basedOn w:val="Normal"/>
    <w:next w:val="Normal"/>
    <w:semiHidden/>
    <w:rsid w:val="00BD52E6"/>
    <w:pPr>
      <w:keepNext w:val="0"/>
      <w:tabs>
        <w:tab w:val="right" w:pos="4176"/>
      </w:tabs>
      <w:ind w:left="198" w:hanging="198"/>
    </w:pPr>
    <w:rPr>
      <w:rFonts w:ascii="Garamond" w:hAnsi="Garamond"/>
    </w:rPr>
  </w:style>
  <w:style w:type="paragraph" w:styleId="IndexHeading">
    <w:name w:val="index heading"/>
    <w:basedOn w:val="Normal"/>
    <w:next w:val="Index1"/>
    <w:semiHidden/>
    <w:rsid w:val="00BD52E6"/>
    <w:pPr>
      <w:spacing w:before="120" w:after="120"/>
    </w:pPr>
    <w:rPr>
      <w:rFonts w:ascii="Arial" w:hAnsi="Arial"/>
      <w:b/>
      <w:color w:val="918585"/>
      <w:sz w:val="24"/>
    </w:rPr>
  </w:style>
  <w:style w:type="paragraph" w:styleId="Header">
    <w:name w:val="header"/>
    <w:basedOn w:val="Normal"/>
    <w:link w:val="HeaderChar"/>
    <w:rsid w:val="00BD52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52E6"/>
    <w:rPr>
      <w:rFonts w:ascii="Times New Roman" w:eastAsia="Times New Roman" w:hAnsi="Times New Roman" w:cs="Times New Roman"/>
      <w:sz w:val="16"/>
      <w:szCs w:val="20"/>
      <w:lang w:val="en-GB" w:eastAsia="en-US"/>
    </w:rPr>
  </w:style>
  <w:style w:type="paragraph" w:customStyle="1" w:styleId="Chapter">
    <w:name w:val="Chapter"/>
    <w:basedOn w:val="Normal"/>
    <w:rsid w:val="00BD52E6"/>
    <w:pPr>
      <w:spacing w:before="240"/>
    </w:pPr>
    <w:rPr>
      <w:rFonts w:ascii="Times New Roman" w:hAnsi="Times New Roman"/>
      <w:smallCaps/>
      <w:spacing w:val="80"/>
      <w:sz w:val="28"/>
    </w:rPr>
  </w:style>
  <w:style w:type="paragraph" w:customStyle="1" w:styleId="InChapter">
    <w:name w:val="InChapter"/>
    <w:basedOn w:val="Heading3"/>
    <w:rsid w:val="00BD52E6"/>
    <w:pPr>
      <w:spacing w:after="240"/>
      <w:outlineLvl w:val="9"/>
    </w:pPr>
    <w:rPr>
      <w:noProof/>
    </w:rPr>
  </w:style>
  <w:style w:type="paragraph" w:styleId="Index2">
    <w:name w:val="index 2"/>
    <w:basedOn w:val="Normal"/>
    <w:next w:val="Normal"/>
    <w:semiHidden/>
    <w:rsid w:val="00BD52E6"/>
    <w:pPr>
      <w:tabs>
        <w:tab w:val="right" w:pos="4176"/>
      </w:tabs>
      <w:ind w:left="568" w:hanging="284"/>
    </w:pPr>
    <w:rPr>
      <w:rFonts w:ascii="Garamond" w:hAnsi="Garamond"/>
    </w:rPr>
  </w:style>
  <w:style w:type="paragraph" w:customStyle="1" w:styleId="Byline">
    <w:name w:val="Byline"/>
    <w:rsid w:val="00BD52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52E6"/>
    <w:pPr>
      <w:tabs>
        <w:tab w:val="clear" w:pos="3600"/>
        <w:tab w:val="clear" w:pos="3958"/>
      </w:tabs>
      <w:jc w:val="right"/>
    </w:pPr>
  </w:style>
  <w:style w:type="paragraph" w:styleId="Caption">
    <w:name w:val="caption"/>
    <w:basedOn w:val="BodyText"/>
    <w:next w:val="Normal"/>
    <w:qFormat/>
    <w:rsid w:val="00BD52E6"/>
    <w:pPr>
      <w:framePr w:w="2268" w:hSpace="181" w:vSpace="181" w:wrap="around" w:vAnchor="text" w:hAnchor="page" w:x="1135" w:y="285" w:anchorLock="1"/>
    </w:pPr>
    <w:rPr>
      <w:i/>
    </w:rPr>
  </w:style>
  <w:style w:type="paragraph" w:customStyle="1" w:styleId="MiniTOCTitle">
    <w:name w:val="MiniTOCTitle"/>
    <w:basedOn w:val="Heading4"/>
    <w:rsid w:val="00BD52E6"/>
    <w:pPr>
      <w:spacing w:before="240"/>
      <w:outlineLvl w:val="9"/>
    </w:pPr>
    <w:rPr>
      <w:noProof/>
      <w:sz w:val="24"/>
    </w:rPr>
  </w:style>
  <w:style w:type="paragraph" w:customStyle="1" w:styleId="MiniTOCItem">
    <w:name w:val="MiniTOCItem"/>
    <w:basedOn w:val="ListBullet"/>
    <w:rsid w:val="00BD52E6"/>
    <w:pPr>
      <w:numPr>
        <w:numId w:val="0"/>
      </w:numPr>
      <w:tabs>
        <w:tab w:val="right" w:leader="dot" w:pos="6521"/>
      </w:tabs>
      <w:spacing w:before="0" w:after="0"/>
    </w:pPr>
  </w:style>
  <w:style w:type="paragraph" w:customStyle="1" w:styleId="TOFTitle">
    <w:name w:val="TOFTitle"/>
    <w:basedOn w:val="TOCTitle"/>
    <w:rsid w:val="00BD52E6"/>
  </w:style>
  <w:style w:type="paragraph" w:styleId="TableofFigures">
    <w:name w:val="table of figures"/>
    <w:basedOn w:val="Normal"/>
    <w:next w:val="Normal"/>
    <w:semiHidden/>
    <w:rsid w:val="00BD52E6"/>
    <w:pPr>
      <w:tabs>
        <w:tab w:val="right" w:leader="dot" w:pos="9072"/>
      </w:tabs>
      <w:ind w:left="970" w:hanging="403"/>
    </w:pPr>
    <w:rPr>
      <w:rFonts w:ascii="Times New Roman" w:hAnsi="Times New Roman"/>
      <w:b/>
    </w:rPr>
  </w:style>
  <w:style w:type="paragraph" w:styleId="ListNumber">
    <w:name w:val="List Number"/>
    <w:basedOn w:val="List"/>
    <w:rsid w:val="00BD52E6"/>
    <w:pPr>
      <w:numPr>
        <w:numId w:val="14"/>
      </w:numPr>
      <w:tabs>
        <w:tab w:val="clear" w:pos="340"/>
      </w:tabs>
    </w:pPr>
  </w:style>
  <w:style w:type="character" w:customStyle="1" w:styleId="WingdingSymbols">
    <w:name w:val="Wingding Symbols"/>
    <w:rsid w:val="00BD52E6"/>
    <w:rPr>
      <w:rFonts w:ascii="Wingdings" w:hAnsi="Wingdings"/>
    </w:rPr>
  </w:style>
  <w:style w:type="paragraph" w:customStyle="1" w:styleId="TableHeading">
    <w:name w:val="Table Heading"/>
    <w:basedOn w:val="HeadingBase"/>
    <w:rsid w:val="00BD52E6"/>
    <w:pPr>
      <w:keepLines/>
      <w:pBdr>
        <w:bottom w:val="single" w:sz="6" w:space="1" w:color="918585"/>
      </w:pBdr>
      <w:spacing w:before="240"/>
    </w:pPr>
  </w:style>
  <w:style w:type="character" w:customStyle="1" w:styleId="HotSpot">
    <w:name w:val="HotSpot"/>
    <w:rsid w:val="00BD52E6"/>
    <w:rPr>
      <w:color w:val="0033CC"/>
      <w:u w:val="none"/>
    </w:rPr>
  </w:style>
  <w:style w:type="paragraph" w:customStyle="1" w:styleId="BodyTextRight">
    <w:name w:val="Body Text Right"/>
    <w:basedOn w:val="BodyText"/>
    <w:rsid w:val="00BD52E6"/>
    <w:pPr>
      <w:spacing w:before="0" w:after="0"/>
      <w:jc w:val="right"/>
    </w:pPr>
  </w:style>
  <w:style w:type="paragraph" w:styleId="Index3">
    <w:name w:val="index 3"/>
    <w:basedOn w:val="ListNumber2"/>
    <w:next w:val="Normal"/>
    <w:semiHidden/>
    <w:rsid w:val="00BD52E6"/>
    <w:pPr>
      <w:numPr>
        <w:numId w:val="0"/>
      </w:numPr>
      <w:tabs>
        <w:tab w:val="right" w:leader="dot" w:pos="4176"/>
      </w:tabs>
    </w:pPr>
  </w:style>
  <w:style w:type="paragraph" w:styleId="ListNumber2">
    <w:name w:val="List Number 2"/>
    <w:basedOn w:val="List2"/>
    <w:rsid w:val="00BD52E6"/>
    <w:pPr>
      <w:numPr>
        <w:numId w:val="9"/>
      </w:numPr>
      <w:tabs>
        <w:tab w:val="clear" w:pos="1060"/>
      </w:tabs>
    </w:pPr>
  </w:style>
  <w:style w:type="paragraph" w:customStyle="1" w:styleId="MarginNote">
    <w:name w:val="Margin Note"/>
    <w:basedOn w:val="BodyText"/>
    <w:rsid w:val="00BD52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52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52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52E6"/>
    <w:rPr>
      <w:sz w:val="32"/>
    </w:rPr>
  </w:style>
  <w:style w:type="paragraph" w:customStyle="1" w:styleId="HeadingProcedure">
    <w:name w:val="Heading Procedure"/>
    <w:basedOn w:val="HeadingBase"/>
    <w:next w:val="Normal"/>
    <w:rsid w:val="00BD52E6"/>
    <w:pPr>
      <w:tabs>
        <w:tab w:val="left" w:pos="0"/>
      </w:tabs>
      <w:spacing w:before="120" w:after="60"/>
    </w:pPr>
    <w:rPr>
      <w:i/>
      <w:color w:val="918585"/>
      <w:sz w:val="22"/>
    </w:rPr>
  </w:style>
  <w:style w:type="paragraph" w:customStyle="1" w:styleId="TableBodyText">
    <w:name w:val="Table Body Text"/>
    <w:basedOn w:val="BodyText"/>
    <w:rsid w:val="00BD52E6"/>
    <w:pPr>
      <w:spacing w:before="60" w:after="60"/>
    </w:pPr>
  </w:style>
  <w:style w:type="paragraph" w:styleId="ListContinue">
    <w:name w:val="List Continue"/>
    <w:basedOn w:val="List"/>
    <w:rsid w:val="00BD52E6"/>
    <w:pPr>
      <w:ind w:firstLine="0"/>
    </w:pPr>
  </w:style>
  <w:style w:type="paragraph" w:customStyle="1" w:styleId="ListNote">
    <w:name w:val="List Note"/>
    <w:basedOn w:val="List"/>
    <w:rsid w:val="00BD52E6"/>
    <w:pPr>
      <w:pBdr>
        <w:top w:val="single" w:sz="6" w:space="2" w:color="918585"/>
        <w:bottom w:val="single" w:sz="6" w:space="2" w:color="918585"/>
      </w:pBdr>
      <w:tabs>
        <w:tab w:val="left" w:pos="1021"/>
      </w:tabs>
      <w:ind w:firstLine="0"/>
    </w:pPr>
  </w:style>
  <w:style w:type="paragraph" w:customStyle="1" w:styleId="Warning">
    <w:name w:val="Warning"/>
    <w:basedOn w:val="BodyText"/>
    <w:rsid w:val="00BD52E6"/>
    <w:pPr>
      <w:shd w:val="clear" w:color="auto" w:fill="D9D9D9"/>
      <w:tabs>
        <w:tab w:val="left" w:pos="992"/>
      </w:tabs>
      <w:ind w:left="119" w:right="119"/>
    </w:pPr>
    <w:rPr>
      <w:sz w:val="20"/>
    </w:rPr>
  </w:style>
  <w:style w:type="paragraph" w:customStyle="1" w:styleId="MarginIcons">
    <w:name w:val="Margin Icons"/>
    <w:basedOn w:val="BodyText"/>
    <w:rsid w:val="00BD52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52E6"/>
    <w:rPr>
      <w:rFonts w:ascii="Courier New" w:hAnsi="Courier New"/>
    </w:rPr>
  </w:style>
  <w:style w:type="paragraph" w:customStyle="1" w:styleId="NoteBullet">
    <w:name w:val="Note Bullet"/>
    <w:basedOn w:val="Note"/>
    <w:rsid w:val="00BD52E6"/>
    <w:pPr>
      <w:tabs>
        <w:tab w:val="clear" w:pos="680"/>
      </w:tabs>
      <w:spacing w:before="60" w:after="60"/>
    </w:pPr>
  </w:style>
  <w:style w:type="paragraph" w:customStyle="1" w:styleId="SubHeading2">
    <w:name w:val="SubHeading2"/>
    <w:basedOn w:val="HeadingBase"/>
    <w:rsid w:val="00BD52E6"/>
    <w:pPr>
      <w:spacing w:before="240" w:after="60"/>
    </w:pPr>
    <w:rPr>
      <w:sz w:val="20"/>
    </w:rPr>
  </w:style>
  <w:style w:type="paragraph" w:customStyle="1" w:styleId="SubHeading1">
    <w:name w:val="SubHeading1"/>
    <w:basedOn w:val="HeadingBase"/>
    <w:rsid w:val="00BD52E6"/>
    <w:pPr>
      <w:spacing w:before="240" w:after="60"/>
    </w:pPr>
    <w:rPr>
      <w:color w:val="918585"/>
      <w:sz w:val="22"/>
    </w:rPr>
  </w:style>
  <w:style w:type="paragraph" w:customStyle="1" w:styleId="SideHeading">
    <w:name w:val="Side Heading"/>
    <w:basedOn w:val="HeadingBase"/>
    <w:rsid w:val="00BD52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52E6"/>
    <w:pPr>
      <w:numPr>
        <w:numId w:val="10"/>
      </w:numPr>
    </w:pPr>
  </w:style>
  <w:style w:type="paragraph" w:styleId="PlainText">
    <w:name w:val="Plain Text"/>
    <w:basedOn w:val="Normal"/>
    <w:link w:val="PlainTextChar"/>
    <w:rsid w:val="00BD52E6"/>
    <w:rPr>
      <w:sz w:val="20"/>
    </w:rPr>
  </w:style>
  <w:style w:type="character" w:customStyle="1" w:styleId="PlainTextChar">
    <w:name w:val="Plain Text Char"/>
    <w:basedOn w:val="DefaultParagraphFont"/>
    <w:link w:val="PlainText"/>
    <w:rsid w:val="00BD52E6"/>
    <w:rPr>
      <w:rFonts w:ascii="Courier New" w:eastAsia="Times New Roman" w:hAnsi="Courier New" w:cs="Times New Roman"/>
      <w:sz w:val="20"/>
      <w:szCs w:val="20"/>
      <w:lang w:eastAsia="en-US"/>
    </w:rPr>
  </w:style>
  <w:style w:type="character" w:customStyle="1" w:styleId="MenuOption">
    <w:name w:val="Menu Option"/>
    <w:basedOn w:val="DefaultParagraphFont"/>
    <w:rsid w:val="00BD52E6"/>
    <w:rPr>
      <w:b/>
      <w:smallCaps/>
    </w:rPr>
  </w:style>
  <w:style w:type="paragraph" w:customStyle="1" w:styleId="TableListNumber">
    <w:name w:val="Table List Number"/>
    <w:basedOn w:val="ListNumber"/>
    <w:rsid w:val="00BD52E6"/>
    <w:pPr>
      <w:numPr>
        <w:numId w:val="0"/>
      </w:numPr>
    </w:pPr>
  </w:style>
  <w:style w:type="paragraph" w:styleId="TOC4">
    <w:name w:val="toc 4"/>
    <w:basedOn w:val="TOCBase"/>
    <w:next w:val="Normal"/>
    <w:semiHidden/>
    <w:rsid w:val="00BD52E6"/>
    <w:pPr>
      <w:tabs>
        <w:tab w:val="right" w:leader="dot" w:pos="9071"/>
      </w:tabs>
      <w:ind w:left="1701"/>
    </w:pPr>
  </w:style>
  <w:style w:type="paragraph" w:customStyle="1" w:styleId="ListAlpha">
    <w:name w:val="List Alpha"/>
    <w:basedOn w:val="List"/>
    <w:rsid w:val="00BD52E6"/>
    <w:pPr>
      <w:numPr>
        <w:numId w:val="8"/>
      </w:numPr>
    </w:pPr>
  </w:style>
  <w:style w:type="paragraph" w:customStyle="1" w:styleId="ListAlpha2">
    <w:name w:val="List Alpha 2"/>
    <w:basedOn w:val="List2"/>
    <w:rsid w:val="00BD52E6"/>
    <w:pPr>
      <w:numPr>
        <w:numId w:val="7"/>
      </w:numPr>
    </w:pPr>
  </w:style>
  <w:style w:type="paragraph" w:styleId="List2">
    <w:name w:val="List 2"/>
    <w:basedOn w:val="BodyText"/>
    <w:rsid w:val="00BD52E6"/>
    <w:pPr>
      <w:tabs>
        <w:tab w:val="left" w:pos="680"/>
      </w:tabs>
      <w:spacing w:before="60" w:after="60"/>
      <w:ind w:left="680" w:hanging="340"/>
    </w:pPr>
  </w:style>
  <w:style w:type="paragraph" w:styleId="List3">
    <w:name w:val="List 3"/>
    <w:basedOn w:val="BodyText"/>
    <w:rsid w:val="00BD52E6"/>
    <w:pPr>
      <w:tabs>
        <w:tab w:val="left" w:pos="1021"/>
      </w:tabs>
      <w:spacing w:before="60" w:after="60"/>
      <w:ind w:left="1020" w:hanging="340"/>
    </w:pPr>
  </w:style>
  <w:style w:type="paragraph" w:styleId="List4">
    <w:name w:val="List 4"/>
    <w:basedOn w:val="BodyText"/>
    <w:rsid w:val="00BD52E6"/>
    <w:pPr>
      <w:tabs>
        <w:tab w:val="left" w:pos="1361"/>
      </w:tabs>
      <w:spacing w:before="60" w:after="60"/>
      <w:ind w:left="1361" w:hanging="340"/>
    </w:pPr>
  </w:style>
  <w:style w:type="paragraph" w:styleId="List5">
    <w:name w:val="List 5"/>
    <w:basedOn w:val="BodyText"/>
    <w:rsid w:val="00BD52E6"/>
    <w:pPr>
      <w:tabs>
        <w:tab w:val="left" w:pos="1701"/>
      </w:tabs>
      <w:spacing w:before="60" w:after="60"/>
      <w:ind w:left="1701" w:hanging="340"/>
    </w:pPr>
  </w:style>
  <w:style w:type="paragraph" w:styleId="ListBullet3">
    <w:name w:val="List Bullet 3"/>
    <w:basedOn w:val="List3"/>
    <w:rsid w:val="00BD52E6"/>
    <w:pPr>
      <w:numPr>
        <w:numId w:val="13"/>
      </w:numPr>
      <w:tabs>
        <w:tab w:val="clear" w:pos="1021"/>
      </w:tabs>
      <w:ind w:left="1037" w:hanging="357"/>
    </w:pPr>
  </w:style>
  <w:style w:type="paragraph" w:styleId="ListBullet4">
    <w:name w:val="List Bullet 4"/>
    <w:basedOn w:val="List4"/>
    <w:rsid w:val="00BD52E6"/>
    <w:pPr>
      <w:numPr>
        <w:numId w:val="2"/>
      </w:numPr>
      <w:tabs>
        <w:tab w:val="clear" w:pos="1361"/>
      </w:tabs>
    </w:pPr>
  </w:style>
  <w:style w:type="paragraph" w:styleId="ListBullet5">
    <w:name w:val="List Bullet 5"/>
    <w:basedOn w:val="List5"/>
    <w:rsid w:val="00BD52E6"/>
    <w:pPr>
      <w:numPr>
        <w:numId w:val="3"/>
      </w:numPr>
    </w:pPr>
  </w:style>
  <w:style w:type="paragraph" w:styleId="ListContinue2">
    <w:name w:val="List Continue 2"/>
    <w:basedOn w:val="List2"/>
    <w:rsid w:val="00BD52E6"/>
    <w:pPr>
      <w:ind w:firstLine="0"/>
    </w:pPr>
  </w:style>
  <w:style w:type="paragraph" w:styleId="ListContinue3">
    <w:name w:val="List Continue 3"/>
    <w:basedOn w:val="List3"/>
    <w:rsid w:val="00BD52E6"/>
    <w:pPr>
      <w:ind w:left="1021" w:firstLine="0"/>
    </w:pPr>
  </w:style>
  <w:style w:type="paragraph" w:styleId="ListContinue4">
    <w:name w:val="List Continue 4"/>
    <w:basedOn w:val="List4"/>
    <w:rsid w:val="00BD52E6"/>
    <w:pPr>
      <w:ind w:firstLine="0"/>
    </w:pPr>
  </w:style>
  <w:style w:type="paragraph" w:styleId="ListContinue5">
    <w:name w:val="List Continue 5"/>
    <w:basedOn w:val="List5"/>
    <w:rsid w:val="00BD52E6"/>
    <w:pPr>
      <w:ind w:firstLine="0"/>
    </w:pPr>
  </w:style>
  <w:style w:type="paragraph" w:styleId="ListNumber3">
    <w:name w:val="List Number 3"/>
    <w:basedOn w:val="List3"/>
    <w:rsid w:val="00BD52E6"/>
    <w:pPr>
      <w:numPr>
        <w:numId w:val="4"/>
      </w:numPr>
    </w:pPr>
  </w:style>
  <w:style w:type="paragraph" w:styleId="ListNumber4">
    <w:name w:val="List Number 4"/>
    <w:basedOn w:val="List4"/>
    <w:rsid w:val="00BD52E6"/>
    <w:pPr>
      <w:numPr>
        <w:numId w:val="5"/>
      </w:numPr>
    </w:pPr>
  </w:style>
  <w:style w:type="paragraph" w:styleId="ListNumber5">
    <w:name w:val="List Number 5"/>
    <w:basedOn w:val="List5"/>
    <w:rsid w:val="00BD52E6"/>
    <w:pPr>
      <w:numPr>
        <w:numId w:val="6"/>
      </w:numPr>
    </w:pPr>
  </w:style>
  <w:style w:type="paragraph" w:styleId="BlockText">
    <w:name w:val="Block Text"/>
    <w:basedOn w:val="Normal"/>
    <w:rsid w:val="00BD52E6"/>
    <w:pPr>
      <w:spacing w:after="120"/>
      <w:ind w:left="1440" w:right="1440"/>
    </w:pPr>
  </w:style>
  <w:style w:type="character" w:customStyle="1" w:styleId="Subscript">
    <w:name w:val="Subscript"/>
    <w:basedOn w:val="DefaultParagraphFont"/>
    <w:rsid w:val="00BD52E6"/>
    <w:rPr>
      <w:sz w:val="16"/>
      <w:vertAlign w:val="subscript"/>
    </w:rPr>
  </w:style>
  <w:style w:type="character" w:customStyle="1" w:styleId="Superscript">
    <w:name w:val="Superscript"/>
    <w:basedOn w:val="DefaultParagraphFont"/>
    <w:rsid w:val="00BD52E6"/>
    <w:rPr>
      <w:sz w:val="16"/>
      <w:vertAlign w:val="superscript"/>
    </w:rPr>
  </w:style>
  <w:style w:type="character" w:customStyle="1" w:styleId="Symbols">
    <w:name w:val="Symbols"/>
    <w:basedOn w:val="DefaultParagraphFont"/>
    <w:rsid w:val="00BD52E6"/>
    <w:rPr>
      <w:rFonts w:ascii="Symbol" w:hAnsi="Symbol"/>
    </w:rPr>
  </w:style>
  <w:style w:type="character" w:customStyle="1" w:styleId="MenuOptions">
    <w:name w:val="Menu Options"/>
    <w:basedOn w:val="DefaultParagraphFont"/>
    <w:rsid w:val="00BD52E6"/>
    <w:rPr>
      <w:rFonts w:ascii="Arial Narrow" w:hAnsi="Arial Narrow"/>
      <w:smallCaps/>
    </w:rPr>
  </w:style>
  <w:style w:type="character" w:customStyle="1" w:styleId="Buttons">
    <w:name w:val="Buttons"/>
    <w:basedOn w:val="DefaultParagraphFont"/>
    <w:rsid w:val="00BD52E6"/>
    <w:rPr>
      <w:b/>
    </w:rPr>
  </w:style>
  <w:style w:type="character" w:customStyle="1" w:styleId="Underlined">
    <w:name w:val="Underlined"/>
    <w:basedOn w:val="DefaultParagraphFont"/>
    <w:rsid w:val="00BD52E6"/>
    <w:rPr>
      <w:u w:val="single"/>
    </w:rPr>
  </w:style>
  <w:style w:type="paragraph" w:customStyle="1" w:styleId="TableBodyTextRight">
    <w:name w:val="Table Body Text Right"/>
    <w:basedOn w:val="TableBodyText"/>
    <w:rsid w:val="00BD52E6"/>
    <w:pPr>
      <w:widowControl w:val="0"/>
      <w:autoSpaceDE w:val="0"/>
      <w:autoSpaceDN w:val="0"/>
      <w:adjustRightInd w:val="0"/>
      <w:jc w:val="right"/>
    </w:pPr>
    <w:rPr>
      <w:rFonts w:cs="Arial"/>
      <w:szCs w:val="18"/>
    </w:rPr>
  </w:style>
  <w:style w:type="paragraph" w:customStyle="1" w:styleId="CopyrightText">
    <w:name w:val="Copyright Text"/>
    <w:basedOn w:val="BodyText"/>
    <w:rsid w:val="00BD52E6"/>
    <w:rPr>
      <w:sz w:val="18"/>
    </w:rPr>
  </w:style>
  <w:style w:type="paragraph" w:customStyle="1" w:styleId="BodySmallRight">
    <w:name w:val="Body Small Right"/>
    <w:basedOn w:val="BodyTextRight"/>
    <w:rsid w:val="00BD52E6"/>
    <w:rPr>
      <w:sz w:val="18"/>
      <w:szCs w:val="18"/>
    </w:rPr>
  </w:style>
  <w:style w:type="paragraph" w:customStyle="1" w:styleId="MarginEdition">
    <w:name w:val="Margin Edition"/>
    <w:basedOn w:val="MarginNote"/>
    <w:rsid w:val="00BD52E6"/>
    <w:pPr>
      <w:spacing w:before="0" w:after="0"/>
    </w:pPr>
    <w:rPr>
      <w:rFonts w:ascii="Times New Roman" w:hAnsi="Times New Roman"/>
      <w:color w:val="999999"/>
    </w:rPr>
  </w:style>
  <w:style w:type="paragraph" w:customStyle="1" w:styleId="Spacer">
    <w:name w:val="Spacer"/>
    <w:basedOn w:val="Normal"/>
    <w:rsid w:val="00BD52E6"/>
    <w:rPr>
      <w:sz w:val="2"/>
      <w:szCs w:val="2"/>
    </w:rPr>
  </w:style>
  <w:style w:type="character" w:customStyle="1" w:styleId="Small">
    <w:name w:val="Small"/>
    <w:basedOn w:val="DefaultParagraphFont"/>
    <w:rsid w:val="00BD52E6"/>
    <w:rPr>
      <w:sz w:val="16"/>
    </w:rPr>
  </w:style>
  <w:style w:type="paragraph" w:customStyle="1" w:styleId="WideTable">
    <w:name w:val="Wide Table"/>
    <w:basedOn w:val="Normal"/>
    <w:rsid w:val="00BD52E6"/>
    <w:pPr>
      <w:ind w:left="-1418"/>
    </w:pPr>
    <w:rPr>
      <w:sz w:val="2"/>
      <w:szCs w:val="2"/>
    </w:rPr>
  </w:style>
  <w:style w:type="character" w:styleId="PageNumber">
    <w:name w:val="page number"/>
    <w:basedOn w:val="DefaultParagraphFont"/>
    <w:rsid w:val="00BD52E6"/>
  </w:style>
  <w:style w:type="paragraph" w:styleId="Quote">
    <w:name w:val="Quote"/>
    <w:basedOn w:val="Heading1"/>
    <w:link w:val="QuoteChar"/>
    <w:qFormat/>
    <w:rsid w:val="00BD52E6"/>
    <w:rPr>
      <w:b w:val="0"/>
      <w:sz w:val="72"/>
      <w:szCs w:val="72"/>
      <w:lang w:val="en-NZ"/>
    </w:rPr>
  </w:style>
  <w:style w:type="character" w:customStyle="1" w:styleId="QuoteChar">
    <w:name w:val="Quote Char"/>
    <w:basedOn w:val="DefaultParagraphFont"/>
    <w:link w:val="Quote"/>
    <w:rsid w:val="00BD52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52E6"/>
    <w:pPr>
      <w:pageBreakBefore/>
    </w:pPr>
  </w:style>
  <w:style w:type="paragraph" w:customStyle="1" w:styleId="Border">
    <w:name w:val="Border"/>
    <w:basedOn w:val="Normal"/>
    <w:qFormat/>
    <w:rsid w:val="00BD52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52E6"/>
    <w:rPr>
      <w:b/>
      <w:bCs/>
      <w:i/>
      <w:iCs/>
      <w:color w:val="auto"/>
    </w:rPr>
  </w:style>
  <w:style w:type="paragraph" w:styleId="IntenseQuote">
    <w:name w:val="Intense Quote"/>
    <w:basedOn w:val="Normal"/>
    <w:next w:val="Normal"/>
    <w:link w:val="IntenseQuoteChar"/>
    <w:uiPriority w:val="30"/>
    <w:qFormat/>
    <w:rsid w:val="00BD52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52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52E6"/>
    <w:rPr>
      <w:smallCaps/>
      <w:color w:val="auto"/>
      <w:u w:val="single"/>
    </w:rPr>
  </w:style>
  <w:style w:type="character" w:styleId="IntenseReference">
    <w:name w:val="Intense Reference"/>
    <w:basedOn w:val="DefaultParagraphFont"/>
    <w:uiPriority w:val="32"/>
    <w:qFormat/>
    <w:rsid w:val="00BD52E6"/>
    <w:rPr>
      <w:b/>
      <w:bCs/>
      <w:smallCaps/>
      <w:color w:val="auto"/>
      <w:spacing w:val="5"/>
      <w:u w:val="single"/>
    </w:rPr>
  </w:style>
  <w:style w:type="paragraph" w:customStyle="1" w:styleId="2ColumnHeading">
    <w:name w:val="2Column Heading"/>
    <w:basedOn w:val="BodyText"/>
    <w:qFormat/>
    <w:rsid w:val="00BD52E6"/>
    <w:pPr>
      <w:spacing w:after="60"/>
      <w:ind w:left="-2268"/>
    </w:pPr>
    <w:rPr>
      <w:b/>
    </w:rPr>
  </w:style>
  <w:style w:type="paragraph" w:customStyle="1" w:styleId="Heading1TOC">
    <w:name w:val="Heading1 TOC"/>
    <w:basedOn w:val="Normal"/>
    <w:qFormat/>
    <w:rsid w:val="00BD52E6"/>
    <w:pPr>
      <w:spacing w:before="240" w:after="120"/>
    </w:pPr>
    <w:rPr>
      <w:rFonts w:ascii="Times New Roman" w:hAnsi="Times New Roman"/>
      <w:b/>
      <w:sz w:val="32"/>
    </w:rPr>
  </w:style>
  <w:style w:type="paragraph" w:customStyle="1" w:styleId="Heading2TOC">
    <w:name w:val="Heading2 TOC"/>
    <w:basedOn w:val="Normal"/>
    <w:qFormat/>
    <w:rsid w:val="00BD52E6"/>
    <w:pPr>
      <w:spacing w:before="240" w:after="60"/>
    </w:pPr>
    <w:rPr>
      <w:rFonts w:ascii="Times New Roman" w:hAnsi="Times New Roman"/>
      <w:b/>
      <w:sz w:val="28"/>
    </w:rPr>
  </w:style>
  <w:style w:type="character" w:customStyle="1" w:styleId="Underline">
    <w:name w:val="Underline"/>
    <w:basedOn w:val="DefaultParagraphFont"/>
    <w:qFormat/>
    <w:rsid w:val="00BD52E6"/>
    <w:rPr>
      <w:u w:val="single"/>
    </w:rPr>
  </w:style>
  <w:style w:type="character" w:customStyle="1" w:styleId="BoldandItalics">
    <w:name w:val="Bold and Italics"/>
    <w:qFormat/>
    <w:rsid w:val="00BD52E6"/>
    <w:rPr>
      <w:b/>
      <w:i/>
      <w:u w:val="none"/>
    </w:rPr>
  </w:style>
  <w:style w:type="paragraph" w:styleId="BalloonText">
    <w:name w:val="Balloon Text"/>
    <w:basedOn w:val="Normal"/>
    <w:link w:val="BalloonTextChar"/>
    <w:rsid w:val="00BD52E6"/>
    <w:rPr>
      <w:rFonts w:ascii="Tahoma" w:hAnsi="Tahoma" w:cs="Tahoma"/>
      <w:sz w:val="16"/>
      <w:szCs w:val="16"/>
    </w:rPr>
  </w:style>
  <w:style w:type="character" w:customStyle="1" w:styleId="BalloonTextChar">
    <w:name w:val="Balloon Text Char"/>
    <w:basedOn w:val="DefaultParagraphFont"/>
    <w:link w:val="BalloonText"/>
    <w:rsid w:val="00BD52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52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52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52E6"/>
    <w:rPr>
      <w:b/>
      <w:color w:val="660033"/>
      <w:spacing w:val="0"/>
    </w:rPr>
  </w:style>
  <w:style w:type="paragraph" w:customStyle="1" w:styleId="Nameditemlist">
    <w:name w:val="Named item list"/>
    <w:basedOn w:val="BodyText"/>
    <w:qFormat/>
    <w:rsid w:val="00BD52E6"/>
    <w:pPr>
      <w:tabs>
        <w:tab w:val="left" w:pos="2835"/>
      </w:tabs>
      <w:ind w:left="2835" w:hanging="2835"/>
    </w:pPr>
  </w:style>
  <w:style w:type="paragraph" w:customStyle="1" w:styleId="BodyTextnopadding">
    <w:name w:val="Body Text no padding"/>
    <w:basedOn w:val="BodyText"/>
    <w:qFormat/>
    <w:rsid w:val="00BD52E6"/>
    <w:pPr>
      <w:spacing w:before="0" w:after="0"/>
    </w:pPr>
  </w:style>
  <w:style w:type="paragraph" w:customStyle="1" w:styleId="BodyTextBold">
    <w:name w:val="Body Text Bold"/>
    <w:basedOn w:val="BodyText"/>
    <w:qFormat/>
    <w:rsid w:val="00BD52E6"/>
    <w:rPr>
      <w:b/>
    </w:rPr>
  </w:style>
  <w:style w:type="character" w:styleId="Hyperlink">
    <w:name w:val="Hyperlink"/>
    <w:basedOn w:val="DefaultParagraphFont"/>
    <w:uiPriority w:val="99"/>
    <w:unhideWhenUsed/>
    <w:rsid w:val="00371B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837</Words>
  <Characters>5190</Characters>
  <Application>Microsoft Office Word</Application>
  <DocSecurity>0</DocSecurity>
  <Lines>225</Lines>
  <Paragraphs>131</Paragraphs>
  <ScaleCrop>false</ScaleCrop>
  <Company>Author-it Software Corporation Ltd.</Company>
  <LinksUpToDate>false</LinksUpToDate>
  <CharactersWithSpaces>5896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MSMWHS510 Manage risk</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2023-02-03T05:43:00Z</dcterms:created>
  <dcterms:modified xsi:type="dcterms:W3CDTF">2023-02-03T05:43:00Z</dcterms:modified>
</cp:coreProperties>
</file>